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31680"/>
        <w:jc w:val="center"/>
        <w:rPr>
          <w:rFonts w:ascii="黑体" w:hAnsi="黑体" w:eastAsia="黑体" w:cs="黑体"/>
          <w:b/>
          <w:bCs/>
          <w:sz w:val="36"/>
          <w:szCs w:val="36"/>
        </w:rPr>
      </w:pPr>
      <w:bookmarkStart w:id="0" w:name="_GoBack"/>
      <w:bookmarkEnd w:id="0"/>
      <w:r>
        <w:rPr>
          <w:rFonts w:hint="eastAsia" w:ascii="黑体" w:hAnsi="黑体" w:eastAsia="黑体" w:cs="黑体"/>
          <w:b/>
          <w:bCs/>
          <w:sz w:val="36"/>
          <w:szCs w:val="36"/>
        </w:rPr>
        <w:t>商洛市人力资源和社会保障局（本级）</w:t>
      </w:r>
    </w:p>
    <w:p>
      <w:pPr>
        <w:spacing w:line="360" w:lineRule="auto"/>
        <w:ind w:firstLine="31680"/>
        <w:jc w:val="center"/>
        <w:rPr>
          <w:rFonts w:ascii="黑体" w:hAnsi="黑体" w:eastAsia="黑体" w:cs="黑体"/>
          <w:b/>
          <w:bCs/>
          <w:sz w:val="36"/>
          <w:szCs w:val="36"/>
        </w:rPr>
      </w:pPr>
      <w:r>
        <w:rPr>
          <w:rFonts w:ascii="黑体" w:hAnsi="黑体" w:eastAsia="黑体" w:cs="黑体"/>
          <w:b/>
          <w:bCs/>
          <w:sz w:val="36"/>
          <w:szCs w:val="36"/>
        </w:rPr>
        <w:t>2023</w:t>
      </w:r>
      <w:r>
        <w:rPr>
          <w:rFonts w:hint="eastAsia" w:ascii="黑体" w:hAnsi="黑体" w:eastAsia="黑体" w:cs="黑体"/>
          <w:b/>
          <w:bCs/>
          <w:sz w:val="36"/>
          <w:szCs w:val="36"/>
        </w:rPr>
        <w:t>年部门综合预算</w:t>
      </w:r>
    </w:p>
    <w:p>
      <w:pPr>
        <w:spacing w:line="360" w:lineRule="auto"/>
        <w:ind w:firstLine="31680"/>
        <w:jc w:val="center"/>
        <w:rPr>
          <w:rFonts w:ascii="黑体" w:hAnsi="黑体" w:eastAsia="黑体" w:cs="黑体"/>
          <w:sz w:val="32"/>
          <w:szCs w:val="32"/>
        </w:rPr>
      </w:pPr>
    </w:p>
    <w:p>
      <w:pPr>
        <w:spacing w:line="360" w:lineRule="auto"/>
        <w:ind w:firstLine="31680"/>
        <w:jc w:val="center"/>
        <w:rPr>
          <w:rFonts w:ascii="黑体" w:hAnsi="黑体" w:eastAsia="黑体" w:cs="黑体"/>
          <w:b/>
          <w:bCs/>
          <w:sz w:val="32"/>
          <w:szCs w:val="32"/>
        </w:rPr>
      </w:pPr>
      <w:r>
        <w:rPr>
          <w:rFonts w:hint="eastAsia" w:ascii="黑体" w:hAnsi="黑体" w:eastAsia="黑体" w:cs="黑体"/>
          <w:b/>
          <w:bCs/>
          <w:sz w:val="32"/>
          <w:szCs w:val="32"/>
        </w:rPr>
        <w:t>目</w:t>
      </w:r>
      <w:r>
        <w:rPr>
          <w:rFonts w:ascii="黑体" w:hAnsi="黑体" w:eastAsia="黑体" w:cs="黑体"/>
          <w:b/>
          <w:bCs/>
          <w:sz w:val="32"/>
          <w:szCs w:val="32"/>
        </w:rPr>
        <w:t xml:space="preserve">  </w:t>
      </w:r>
      <w:r>
        <w:rPr>
          <w:rFonts w:hint="eastAsia" w:ascii="黑体" w:hAnsi="黑体" w:eastAsia="黑体" w:cs="黑体"/>
          <w:b/>
          <w:bCs/>
          <w:sz w:val="32"/>
          <w:szCs w:val="32"/>
        </w:rPr>
        <w:t>录</w:t>
      </w:r>
    </w:p>
    <w:p>
      <w:pPr>
        <w:spacing w:line="360" w:lineRule="auto"/>
        <w:ind w:firstLine="31680"/>
        <w:jc w:val="center"/>
        <w:rPr>
          <w:rFonts w:ascii="仿宋" w:hAnsi="仿宋" w:eastAsia="仿宋" w:cs="仿宋"/>
          <w:b/>
          <w:bCs/>
          <w:sz w:val="32"/>
          <w:szCs w:val="32"/>
        </w:rPr>
      </w:pPr>
      <w:r>
        <w:rPr>
          <w:rFonts w:hint="eastAsia" w:ascii="黑体" w:hAnsi="黑体" w:eastAsia="黑体" w:cs="黑体"/>
          <w:b/>
          <w:bCs/>
          <w:sz w:val="32"/>
          <w:szCs w:val="32"/>
        </w:rPr>
        <w:t>第一部分</w:t>
      </w:r>
      <w:r>
        <w:rPr>
          <w:rFonts w:ascii="黑体" w:hAnsi="黑体" w:eastAsia="黑体" w:cs="黑体"/>
          <w:b/>
          <w:bCs/>
          <w:sz w:val="32"/>
          <w:szCs w:val="32"/>
        </w:rPr>
        <w:t xml:space="preserve">   </w:t>
      </w:r>
      <w:r>
        <w:rPr>
          <w:rFonts w:hint="eastAsia" w:ascii="黑体" w:hAnsi="黑体" w:eastAsia="黑体" w:cs="黑体"/>
          <w:b/>
          <w:bCs/>
          <w:sz w:val="32"/>
          <w:szCs w:val="32"/>
        </w:rPr>
        <w:t>部门概况</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一、部门主要职责及机构设置</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二、年年度部门工作任务</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三、部门预算单位构成</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四、部门人员情况说明</w:t>
      </w:r>
    </w:p>
    <w:p>
      <w:pPr>
        <w:spacing w:line="360" w:lineRule="auto"/>
        <w:ind w:firstLine="31680"/>
        <w:jc w:val="center"/>
        <w:rPr>
          <w:rFonts w:ascii="黑体" w:hAnsi="黑体" w:eastAsia="黑体" w:cs="黑体"/>
          <w:b/>
          <w:bCs/>
          <w:sz w:val="32"/>
          <w:szCs w:val="32"/>
        </w:rPr>
      </w:pPr>
      <w:r>
        <w:rPr>
          <w:rFonts w:hint="eastAsia" w:ascii="黑体" w:hAnsi="黑体" w:eastAsia="黑体" w:cs="黑体"/>
          <w:b/>
          <w:bCs/>
          <w:sz w:val="32"/>
          <w:szCs w:val="32"/>
        </w:rPr>
        <w:t>第二部分</w:t>
      </w:r>
      <w:r>
        <w:rPr>
          <w:rFonts w:ascii="黑体" w:hAnsi="黑体" w:eastAsia="黑体" w:cs="黑体"/>
          <w:b/>
          <w:bCs/>
          <w:sz w:val="32"/>
          <w:szCs w:val="32"/>
        </w:rPr>
        <w:t xml:space="preserve">   </w:t>
      </w:r>
      <w:r>
        <w:rPr>
          <w:rFonts w:hint="eastAsia" w:ascii="黑体" w:hAnsi="黑体" w:eastAsia="黑体" w:cs="黑体"/>
          <w:b/>
          <w:bCs/>
          <w:sz w:val="32"/>
          <w:szCs w:val="32"/>
        </w:rPr>
        <w:t>收支情况</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五、年部门预算收支说明</w:t>
      </w:r>
    </w:p>
    <w:p>
      <w:pPr>
        <w:spacing w:line="360" w:lineRule="auto"/>
        <w:ind w:firstLine="31680"/>
        <w:jc w:val="center"/>
        <w:rPr>
          <w:rFonts w:ascii="黑体" w:hAnsi="黑体" w:eastAsia="黑体" w:cs="黑体"/>
          <w:b/>
          <w:bCs/>
          <w:sz w:val="32"/>
          <w:szCs w:val="32"/>
        </w:rPr>
      </w:pPr>
      <w:r>
        <w:rPr>
          <w:rFonts w:hint="eastAsia" w:ascii="黑体" w:hAnsi="黑体" w:eastAsia="黑体" w:cs="黑体"/>
          <w:b/>
          <w:bCs/>
          <w:sz w:val="32"/>
          <w:szCs w:val="32"/>
        </w:rPr>
        <w:t>第三部分</w:t>
      </w:r>
      <w:r>
        <w:rPr>
          <w:rFonts w:ascii="黑体" w:hAnsi="黑体" w:eastAsia="黑体" w:cs="黑体"/>
          <w:b/>
          <w:bCs/>
          <w:sz w:val="32"/>
          <w:szCs w:val="32"/>
        </w:rPr>
        <w:t xml:space="preserve">   </w:t>
      </w:r>
      <w:r>
        <w:rPr>
          <w:rFonts w:hint="eastAsia" w:ascii="黑体" w:hAnsi="黑体" w:eastAsia="黑体" w:cs="黑体"/>
          <w:b/>
          <w:bCs/>
          <w:sz w:val="32"/>
          <w:szCs w:val="32"/>
        </w:rPr>
        <w:t>其他说明情况</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六、部门预算“三公”经费等情况说明</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七、部门国有资产占有使用及资产购置情况说明</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八、部门政府采购情况说明</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九、部门预算绩效目标说明</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十、机关运行经费安排说明</w:t>
      </w:r>
    </w:p>
    <w:p>
      <w:pPr>
        <w:spacing w:line="360" w:lineRule="auto"/>
        <w:ind w:firstLine="31680"/>
        <w:rPr>
          <w:rFonts w:ascii="黑体" w:hAnsi="黑体" w:eastAsia="黑体" w:cs="黑体"/>
          <w:sz w:val="32"/>
          <w:szCs w:val="32"/>
        </w:rPr>
      </w:pPr>
      <w:r>
        <w:rPr>
          <w:rFonts w:hint="eastAsia" w:ascii="黑体" w:hAnsi="黑体" w:eastAsia="黑体" w:cs="黑体"/>
          <w:sz w:val="32"/>
          <w:szCs w:val="32"/>
        </w:rPr>
        <w:t>十一、专业名词解释</w:t>
      </w:r>
    </w:p>
    <w:p>
      <w:pPr>
        <w:spacing w:line="360" w:lineRule="auto"/>
        <w:ind w:firstLine="31680"/>
        <w:jc w:val="center"/>
        <w:rPr>
          <w:rFonts w:ascii="黑体" w:hAnsi="黑体" w:eastAsia="黑体" w:cs="黑体"/>
          <w:b/>
          <w:bCs/>
          <w:sz w:val="32"/>
          <w:szCs w:val="32"/>
        </w:rPr>
      </w:pPr>
      <w:r>
        <w:rPr>
          <w:rFonts w:hint="eastAsia" w:ascii="黑体" w:hAnsi="黑体" w:eastAsia="黑体" w:cs="黑体"/>
          <w:b/>
          <w:bCs/>
          <w:sz w:val="32"/>
          <w:szCs w:val="32"/>
        </w:rPr>
        <w:t>第四部分</w:t>
      </w:r>
      <w:r>
        <w:rPr>
          <w:rFonts w:ascii="黑体" w:hAnsi="黑体" w:eastAsia="黑体" w:cs="黑体"/>
          <w:b/>
          <w:bCs/>
          <w:sz w:val="32"/>
          <w:szCs w:val="32"/>
        </w:rPr>
        <w:t xml:space="preserve">   </w:t>
      </w:r>
      <w:r>
        <w:rPr>
          <w:rFonts w:hint="eastAsia" w:ascii="黑体" w:hAnsi="黑体" w:eastAsia="黑体" w:cs="黑体"/>
          <w:b/>
          <w:bCs/>
          <w:sz w:val="32"/>
          <w:szCs w:val="32"/>
        </w:rPr>
        <w:t>公开报表</w:t>
      </w:r>
    </w:p>
    <w:p>
      <w:pPr>
        <w:spacing w:afterLines="1500" w:line="360" w:lineRule="auto"/>
        <w:ind w:firstLine="31680"/>
        <w:rPr>
          <w:rFonts w:ascii="仿宋" w:hAnsi="仿宋" w:eastAsia="仿宋" w:cs="仿宋"/>
          <w:sz w:val="32"/>
          <w:szCs w:val="32"/>
        </w:rPr>
      </w:pPr>
      <w:r>
        <w:rPr>
          <w:rFonts w:hint="eastAsia" w:ascii="仿宋" w:hAnsi="仿宋" w:eastAsia="仿宋" w:cs="仿宋"/>
          <w:sz w:val="32"/>
          <w:szCs w:val="32"/>
        </w:rPr>
        <w:t>（具体部门预算公开报表）</w:t>
      </w:r>
    </w:p>
    <w:p>
      <w:pPr>
        <w:spacing w:line="360" w:lineRule="auto"/>
        <w:ind w:firstLine="0" w:firstLineChars="0"/>
        <w:jc w:val="center"/>
        <w:rPr>
          <w:rFonts w:ascii="宋体" w:cs="宋体"/>
          <w:b/>
          <w:bCs/>
          <w:sz w:val="32"/>
          <w:szCs w:val="32"/>
        </w:rPr>
      </w:pPr>
      <w:r>
        <w:rPr>
          <w:rFonts w:hint="eastAsia" w:ascii="宋体" w:hAnsi="宋体" w:cs="宋体"/>
          <w:b/>
          <w:bCs/>
          <w:sz w:val="32"/>
          <w:szCs w:val="32"/>
        </w:rPr>
        <w:t>第一部分</w:t>
      </w:r>
      <w:r>
        <w:rPr>
          <w:rFonts w:ascii="宋体" w:hAnsi="宋体" w:cs="宋体"/>
          <w:b/>
          <w:bCs/>
          <w:sz w:val="32"/>
          <w:szCs w:val="32"/>
        </w:rPr>
        <w:t xml:space="preserve">  </w:t>
      </w:r>
      <w:r>
        <w:rPr>
          <w:rFonts w:hint="eastAsia" w:ascii="宋体" w:hAnsi="宋体" w:cs="宋体"/>
          <w:b/>
          <w:bCs/>
          <w:sz w:val="32"/>
          <w:szCs w:val="32"/>
        </w:rPr>
        <w:t>部门概况</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rFonts w:ascii="宋体" w:cs="宋体"/>
          <w:b/>
          <w:bCs/>
          <w:sz w:val="32"/>
          <w:szCs w:val="32"/>
        </w:rPr>
      </w:pPr>
      <w:r>
        <w:rPr>
          <w:rFonts w:hint="eastAsia" w:ascii="宋体" w:hAnsi="宋体" w:cs="宋体"/>
          <w:b/>
          <w:bCs/>
          <w:sz w:val="32"/>
          <w:szCs w:val="32"/>
        </w:rPr>
        <w:t>一、部门主要职责及机构设置</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rFonts w:ascii="黑体" w:hAnsi="黑体" w:eastAsia="黑体" w:cs="黑体"/>
          <w:kern w:val="0"/>
          <w:sz w:val="32"/>
          <w:szCs w:val="32"/>
        </w:rPr>
      </w:pPr>
      <w:r>
        <w:rPr>
          <w:rFonts w:hint="eastAsia" w:ascii="黑体" w:hAnsi="黑体" w:eastAsia="黑体" w:cs="黑体"/>
          <w:kern w:val="0"/>
          <w:sz w:val="32"/>
          <w:szCs w:val="32"/>
        </w:rPr>
        <w:t>（一）主要职责</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1.</w:t>
      </w:r>
      <w:r>
        <w:rPr>
          <w:rFonts w:hint="eastAsia" w:ascii="仿宋" w:hAnsi="仿宋" w:eastAsia="仿宋" w:cs="仿宋"/>
          <w:kern w:val="2"/>
          <w:sz w:val="32"/>
          <w:szCs w:val="32"/>
        </w:rPr>
        <w:t>贯彻落实国家、省、市有关人力资源和社会保障方面法律法规规章，拟订全市人力资源和社会保障事业发展政策、规划和计划，并组织实施和监督检查。</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2.</w:t>
      </w:r>
      <w:r>
        <w:rPr>
          <w:rFonts w:hint="eastAsia" w:ascii="仿宋" w:hAnsi="仿宋" w:eastAsia="仿宋" w:cs="仿宋"/>
          <w:kern w:val="2"/>
          <w:sz w:val="32"/>
          <w:szCs w:val="32"/>
        </w:rPr>
        <w:t>贯彻落实人力资源服务业发展、人力资源流动政策，拟订全市人力资源市场发展规划，建立统一规范的人力资源市场，促进人力资源合理流动、有效配置。</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3.</w:t>
      </w:r>
      <w:r>
        <w:rPr>
          <w:rFonts w:hint="eastAsia" w:ascii="仿宋" w:hAnsi="仿宋" w:eastAsia="仿宋" w:cs="仿宋"/>
          <w:kern w:val="2"/>
          <w:sz w:val="32"/>
          <w:szCs w:val="32"/>
        </w:rPr>
        <w:t>负责全市促进就业工作，组织实施统筹城乡的全市就业创业发展规划和政策，完善公共就业创业服务体系，推动建立面向城乡劳动者的职业技能培训制度，贯彻落实就业援助制度和高校毕业生就业政策。</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4.</w:t>
      </w:r>
      <w:r>
        <w:rPr>
          <w:rFonts w:hint="eastAsia" w:ascii="仿宋" w:hAnsi="仿宋" w:eastAsia="仿宋" w:cs="仿宋"/>
          <w:kern w:val="2"/>
          <w:sz w:val="32"/>
          <w:szCs w:val="32"/>
        </w:rPr>
        <w:t>统筹推进建立全市覆盖城乡的多层次社会保障体系。贯彻落实养老、失业、工伤等社会保险及其补充保险政策和标准。贯彻落实养老保险全省统筹办法和全省统一的养老、失业、工伤保险关系转续办法。贯彻并拟订被征地农民养老补助政策，贯彻执行“八大员”等特殊人群待遇标准。贯彻执行养老失业工伤及其补充保险基金管理和监督制度，编制相关社会保险基金预决算草案。会同有关部门实施全民参保计划并建立统一的社会保险公共服务平台。</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5.</w:t>
      </w:r>
      <w:r>
        <w:rPr>
          <w:rFonts w:hint="eastAsia" w:ascii="仿宋" w:hAnsi="仿宋" w:eastAsia="仿宋" w:cs="仿宋"/>
          <w:kern w:val="2"/>
          <w:sz w:val="32"/>
          <w:szCs w:val="32"/>
        </w:rPr>
        <w:t>负责全市就业、失业和相关社会保险基金预测预警和信息引导，拟订应对预案，实施预防、调节和控制，保持就业形势稳定和相关社会保险基金收支平衡。</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6.</w:t>
      </w:r>
      <w:r>
        <w:rPr>
          <w:rFonts w:hint="eastAsia" w:ascii="仿宋" w:hAnsi="仿宋" w:eastAsia="仿宋" w:cs="仿宋"/>
          <w:kern w:val="2"/>
          <w:sz w:val="32"/>
          <w:szCs w:val="32"/>
        </w:rPr>
        <w:t>会同有关部门贯彻落实事业单位人员和机关工勤人员工资收入分配政策，建立全市企事业单位人员工资决定、正常增长和支付保障机制。贯彻执行企事业单位人员、机关工勤人员福利和离退休政策。做好国有企业负责人薪酬制度改革实施工作。</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7.</w:t>
      </w:r>
      <w:r>
        <w:rPr>
          <w:rFonts w:hint="eastAsia" w:ascii="仿宋" w:hAnsi="仿宋" w:eastAsia="仿宋" w:cs="仿宋"/>
          <w:kern w:val="2"/>
          <w:sz w:val="32"/>
          <w:szCs w:val="32"/>
        </w:rPr>
        <w:t>会同有关部门实施事业单位人事制度改革，按照管理权限负责规范事业单位岗位设置、公开招聘、聘用合同等人事综合管理工作，贯彻执行事业单位工作人员和机关工勤人员管理政策。</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 xml:space="preserve">8. </w:t>
      </w:r>
      <w:r>
        <w:rPr>
          <w:rFonts w:hint="eastAsia" w:ascii="仿宋" w:hAnsi="仿宋" w:eastAsia="仿宋" w:cs="仿宋"/>
          <w:kern w:val="2"/>
          <w:sz w:val="32"/>
          <w:szCs w:val="32"/>
        </w:rPr>
        <w:t>会同有关部门参与人才管理工作，贯彻执行专业技术人员管理、继续教育管理等政策；推进深化职称制度改革；负责高层次专业技术人才选拔和培养工作。贯彻落实吸引留学人员来商洛工作或定居政策。贯彻落实技能人才培养、评价、使用和激励制度。推动完善职业资格制度，健全职业技能多元化评价政策。</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9.</w:t>
      </w:r>
      <w:r>
        <w:rPr>
          <w:rFonts w:hint="eastAsia" w:ascii="仿宋" w:hAnsi="仿宋" w:eastAsia="仿宋" w:cs="仿宋"/>
          <w:kern w:val="2"/>
          <w:sz w:val="32"/>
          <w:szCs w:val="32"/>
        </w:rPr>
        <w:t>会同有关部门组织落实国家和省表彰奖励制度，综合管理市委市政府表彰奖励工作，承担全市评比达标表彰等相关表彰工作；根据授权承办以市委、市政府名义开展的表彰奖励活动；承办市政府人事任免工作。</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10.</w:t>
      </w:r>
      <w:r>
        <w:rPr>
          <w:rFonts w:hint="eastAsia" w:ascii="仿宋" w:hAnsi="仿宋" w:eastAsia="仿宋" w:cs="仿宋"/>
          <w:kern w:val="2"/>
          <w:sz w:val="32"/>
          <w:szCs w:val="32"/>
        </w:rPr>
        <w:t>会同有关部门贯彻落实农民工工作的综合性政策，拟订农民工工作规划和年度计划，推动相关政策落实，协调解决重点难点问题，维护农民工合法权益。统筹指导全市农民工就业创业和发展家庭服务业促进就业工作。</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仿宋" w:hAnsi="仿宋" w:eastAsia="仿宋" w:cs="仿宋"/>
          <w:kern w:val="2"/>
          <w:sz w:val="32"/>
          <w:szCs w:val="32"/>
        </w:rPr>
      </w:pPr>
      <w:r>
        <w:rPr>
          <w:rFonts w:ascii="仿宋" w:hAnsi="仿宋" w:eastAsia="仿宋" w:cs="仿宋"/>
          <w:kern w:val="2"/>
          <w:sz w:val="32"/>
          <w:szCs w:val="32"/>
        </w:rPr>
        <w:t>11.</w:t>
      </w:r>
      <w:r>
        <w:rPr>
          <w:rFonts w:hint="eastAsia" w:ascii="仿宋" w:hAnsi="仿宋" w:eastAsia="仿宋" w:cs="仿宋"/>
          <w:kern w:val="2"/>
          <w:sz w:val="32"/>
          <w:szCs w:val="32"/>
        </w:rPr>
        <w:t>贯彻落实劳动人事争议调解仲裁制度和劳动关系政策，完善劳动关系协商协调机制，贯彻执行职工工作时间、休息休假和假期制度，监督落实消除非法使用童工政策和女工、未成年工特殊劳动保护政策。组织实施劳动保障监察，协调劳动者维权工作，依法查处重大案件。</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640"/>
        <w:textAlignment w:val="auto"/>
        <w:rPr>
          <w:rFonts w:ascii="黑体" w:hAnsi="黑体" w:eastAsia="黑体" w:cs="黑体"/>
          <w:sz w:val="32"/>
          <w:szCs w:val="32"/>
        </w:rPr>
      </w:pPr>
      <w:r>
        <w:rPr>
          <w:rFonts w:ascii="仿宋" w:hAnsi="仿宋" w:eastAsia="仿宋" w:cs="仿宋"/>
          <w:kern w:val="2"/>
          <w:sz w:val="32"/>
          <w:szCs w:val="32"/>
        </w:rPr>
        <w:t>12.</w:t>
      </w:r>
      <w:r>
        <w:rPr>
          <w:rFonts w:hint="eastAsia" w:ascii="仿宋" w:hAnsi="仿宋" w:eastAsia="仿宋" w:cs="仿宋"/>
          <w:kern w:val="2"/>
          <w:sz w:val="32"/>
          <w:szCs w:val="32"/>
        </w:rPr>
        <w:t>完成市委、市政府交办的其他任务。</w:t>
      </w:r>
    </w:p>
    <w:p>
      <w:pPr>
        <w:keepNext w:val="0"/>
        <w:keepLines w:val="0"/>
        <w:pageBreakBefore w:val="0"/>
        <w:widowControl w:val="0"/>
        <w:numPr>
          <w:ilvl w:val="0"/>
          <w:numId w:val="1"/>
        </w:numPr>
        <w:kinsoku/>
        <w:wordWrap/>
        <w:overflowPunct/>
        <w:topLinePunct w:val="0"/>
        <w:autoSpaceDE/>
        <w:autoSpaceDN/>
        <w:bidi w:val="0"/>
        <w:adjustRightInd/>
        <w:snapToGrid/>
        <w:spacing w:beforeAutospacing="0" w:afterAutospacing="0" w:line="540" w:lineRule="exact"/>
        <w:ind w:firstLine="640" w:firstLineChars="0"/>
        <w:textAlignment w:val="auto"/>
        <w:rPr>
          <w:rFonts w:ascii="黑体" w:hAnsi="黑体" w:eastAsia="黑体" w:cs="黑体"/>
          <w:kern w:val="0"/>
          <w:sz w:val="32"/>
          <w:szCs w:val="32"/>
        </w:rPr>
      </w:pPr>
      <w:r>
        <w:rPr>
          <w:rFonts w:hint="eastAsia" w:ascii="黑体" w:hAnsi="黑体" w:eastAsia="黑体" w:cs="黑体"/>
          <w:kern w:val="0"/>
          <w:sz w:val="32"/>
          <w:szCs w:val="32"/>
        </w:rPr>
        <w:t>内设机构</w:t>
      </w:r>
    </w:p>
    <w:p>
      <w:pPr>
        <w:pStyle w:val="5"/>
        <w:keepNext w:val="0"/>
        <w:keepLines w:val="0"/>
        <w:pageBreakBefore w:val="0"/>
        <w:widowControl w:val="0"/>
        <w:kinsoku/>
        <w:wordWrap/>
        <w:overflowPunct/>
        <w:topLinePunct w:val="0"/>
        <w:autoSpaceDE/>
        <w:autoSpaceDN/>
        <w:bidi w:val="0"/>
        <w:adjustRightInd/>
        <w:snapToGrid/>
        <w:spacing w:before="0" w:beforeAutospacing="0" w:after="0" w:afterAutospacing="0" w:line="540" w:lineRule="exact"/>
        <w:ind w:firstLine="960" w:firstLineChars="300"/>
        <w:textAlignment w:val="auto"/>
        <w:rPr>
          <w:rFonts w:ascii="仿宋" w:hAnsi="仿宋" w:eastAsia="仿宋" w:cs="仿宋"/>
          <w:kern w:val="2"/>
          <w:sz w:val="32"/>
          <w:szCs w:val="32"/>
        </w:rPr>
      </w:pPr>
      <w:r>
        <w:rPr>
          <w:rFonts w:ascii="仿宋" w:hAnsi="仿宋" w:eastAsia="仿宋" w:cs="仿宋"/>
          <w:kern w:val="2"/>
          <w:sz w:val="32"/>
          <w:szCs w:val="32"/>
        </w:rPr>
        <w:t>2023</w:t>
      </w:r>
      <w:r>
        <w:rPr>
          <w:rFonts w:hint="eastAsia" w:ascii="仿宋" w:hAnsi="仿宋" w:eastAsia="仿宋" w:cs="仿宋"/>
          <w:kern w:val="2"/>
          <w:sz w:val="32"/>
          <w:szCs w:val="32"/>
        </w:rPr>
        <w:t>年商洛市人力资源和社会保障局预算单位构成为：商洛市人力资源和社会保障局机关。</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rFonts w:ascii="宋体" w:cs="宋体"/>
          <w:b/>
          <w:bCs/>
          <w:sz w:val="32"/>
          <w:szCs w:val="32"/>
        </w:rPr>
      </w:pPr>
      <w:r>
        <w:rPr>
          <w:rFonts w:hint="eastAsia" w:ascii="宋体" w:hAnsi="宋体" w:cs="宋体"/>
          <w:b/>
          <w:bCs/>
          <w:sz w:val="32"/>
          <w:szCs w:val="32"/>
        </w:rPr>
        <w:t>二、年度部门工作任务</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rFonts w:ascii="仿宋_GB2312" w:hAnsi="仿宋_GB2312" w:eastAsia="仿宋_GB2312" w:cs="仿宋_GB2312"/>
          <w:color w:val="000000"/>
          <w:sz w:val="32"/>
          <w:szCs w:val="32"/>
        </w:rPr>
      </w:pPr>
      <w:r>
        <w:rPr>
          <w:rFonts w:ascii="宋体" w:hAnsi="宋体" w:cs="宋体"/>
          <w:b/>
          <w:bCs/>
          <w:sz w:val="32"/>
          <w:szCs w:val="32"/>
        </w:rPr>
        <w:t>1.</w:t>
      </w:r>
      <w:r>
        <w:rPr>
          <w:rFonts w:ascii="楷体" w:hAnsi="楷体" w:eastAsia="楷体" w:cs="楷体"/>
          <w:b/>
          <w:bCs/>
          <w:color w:val="000000"/>
          <w:sz w:val="32"/>
          <w:szCs w:val="32"/>
        </w:rPr>
        <w:t xml:space="preserve"> </w:t>
      </w:r>
      <w:r>
        <w:rPr>
          <w:rFonts w:hint="eastAsia" w:ascii="楷体" w:hAnsi="楷体" w:eastAsia="楷体" w:cs="楷体"/>
          <w:b/>
          <w:bCs/>
          <w:color w:val="000000"/>
          <w:sz w:val="32"/>
          <w:szCs w:val="32"/>
        </w:rPr>
        <w:t>全面做好稳就业促就业工作。</w:t>
      </w:r>
      <w:r>
        <w:rPr>
          <w:rFonts w:hint="eastAsia" w:ascii="仿宋_GB2312" w:hAnsi="仿宋_GB2312" w:eastAsia="仿宋_GB2312" w:cs="仿宋_GB2312"/>
          <w:color w:val="000000"/>
          <w:sz w:val="32"/>
          <w:szCs w:val="32"/>
        </w:rPr>
        <w:t>持续强化就业政策落实，突出抓好重点群体就业，大力促进创业带动就业，提升公共就业服务水平，提升职业能力建设质量。</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rFonts w:ascii="黑体" w:hAnsi="黑体" w:eastAsia="黑体" w:cs="黑体"/>
          <w:color w:val="000000"/>
          <w:sz w:val="32"/>
          <w:szCs w:val="32"/>
        </w:rPr>
      </w:pPr>
      <w:r>
        <w:rPr>
          <w:rFonts w:ascii="楷体" w:hAnsi="楷体" w:eastAsia="楷体" w:cs="楷体"/>
          <w:b/>
          <w:bCs/>
          <w:color w:val="000000"/>
          <w:sz w:val="32"/>
          <w:szCs w:val="32"/>
        </w:rPr>
        <w:t>2.</w:t>
      </w:r>
      <w:r>
        <w:rPr>
          <w:rFonts w:hint="eastAsia" w:ascii="楷体" w:hAnsi="楷体" w:eastAsia="楷体" w:cs="楷体"/>
          <w:b/>
          <w:bCs/>
          <w:color w:val="000000"/>
          <w:sz w:val="32"/>
          <w:szCs w:val="32"/>
        </w:rPr>
        <w:t>积极稳妥推进社会保障制度改革。</w:t>
      </w:r>
      <w:r>
        <w:rPr>
          <w:rFonts w:hint="eastAsia" w:ascii="仿宋_GB2312" w:hAnsi="仿宋_GB2312" w:eastAsia="仿宋_GB2312" w:cs="仿宋_GB2312"/>
          <w:color w:val="000000"/>
          <w:sz w:val="32"/>
          <w:szCs w:val="32"/>
        </w:rPr>
        <w:t>深化社保制度改革，持续扩大社保覆盖面，稳步提升社保待遇水平，着力加强社保基金管理。</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40" w:lineRule="exact"/>
        <w:ind w:firstLine="643" w:firstLineChars="200"/>
        <w:textAlignment w:val="auto"/>
        <w:rPr>
          <w:rFonts w:ascii="仿宋_GB2312" w:hAnsi="仿宋_GB2312" w:eastAsia="仿宋_GB2312" w:cs="仿宋_GB2312"/>
          <w:color w:val="000000"/>
          <w:sz w:val="32"/>
          <w:szCs w:val="32"/>
        </w:rPr>
      </w:pPr>
      <w:r>
        <w:rPr>
          <w:rFonts w:ascii="楷体" w:hAnsi="楷体" w:eastAsia="楷体" w:cs="楷体"/>
          <w:b/>
          <w:bCs/>
          <w:color w:val="000000"/>
          <w:sz w:val="32"/>
          <w:szCs w:val="32"/>
        </w:rPr>
        <w:t>3.</w:t>
      </w:r>
      <w:r>
        <w:rPr>
          <w:rFonts w:hint="eastAsia" w:ascii="楷体" w:hAnsi="楷体" w:eastAsia="楷体" w:cs="楷体"/>
          <w:b/>
          <w:bCs/>
          <w:color w:val="000000"/>
          <w:sz w:val="32"/>
          <w:szCs w:val="32"/>
        </w:rPr>
        <w:t>加强人才人事工作。</w:t>
      </w:r>
      <w:r>
        <w:rPr>
          <w:rFonts w:hint="eastAsia" w:ascii="仿宋_GB2312" w:hAnsi="仿宋_GB2312" w:eastAsia="仿宋_GB2312" w:cs="仿宋_GB2312"/>
          <w:color w:val="000000"/>
          <w:sz w:val="32"/>
          <w:szCs w:val="32"/>
        </w:rPr>
        <w:t>加强专业技术人才队伍建设，，加强技能人才队伍建设，深化事业单位人事制度改革，认真做好表彰奖励工作。</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40" w:lineRule="exact"/>
        <w:ind w:firstLine="643" w:firstLineChars="200"/>
        <w:textAlignment w:val="auto"/>
        <w:rPr>
          <w:rFonts w:ascii="仿宋_GB2312" w:hAnsi="仿宋_GB2312" w:eastAsia="仿宋_GB2312" w:cs="仿宋_GB2312"/>
          <w:color w:val="000000"/>
          <w:sz w:val="32"/>
          <w:szCs w:val="32"/>
        </w:rPr>
      </w:pPr>
      <w:r>
        <w:rPr>
          <w:rFonts w:ascii="楷体" w:hAnsi="楷体" w:eastAsia="楷体" w:cs="楷体"/>
          <w:b/>
          <w:bCs/>
          <w:color w:val="000000"/>
          <w:sz w:val="32"/>
          <w:szCs w:val="32"/>
        </w:rPr>
        <w:t>4.</w:t>
      </w:r>
      <w:r>
        <w:rPr>
          <w:rFonts w:hint="eastAsia" w:ascii="楷体" w:hAnsi="楷体" w:eastAsia="楷体" w:cs="楷体"/>
          <w:b/>
          <w:bCs/>
          <w:color w:val="000000"/>
          <w:sz w:val="32"/>
          <w:szCs w:val="32"/>
        </w:rPr>
        <w:t>深化工资收入分配制度改革。</w:t>
      </w:r>
      <w:r>
        <w:rPr>
          <w:rFonts w:hint="eastAsia" w:ascii="仿宋_GB2312" w:hAnsi="仿宋_GB2312" w:eastAsia="仿宋_GB2312" w:cs="仿宋_GB2312"/>
          <w:color w:val="000000"/>
          <w:sz w:val="32"/>
          <w:szCs w:val="32"/>
        </w:rPr>
        <w:t>加强企业工资宏观调控</w:t>
      </w:r>
      <w:r>
        <w:rPr>
          <w:rFonts w:hint="eastAsia" w:ascii="仿宋_GB2312" w:hAnsi="仿宋_GB2312" w:eastAsia="仿宋_GB2312" w:cs="仿宋_GB2312"/>
          <w:sz w:val="32"/>
          <w:szCs w:val="32"/>
        </w:rPr>
        <w:t>，</w:t>
      </w:r>
      <w:r>
        <w:rPr>
          <w:rFonts w:hint="eastAsia" w:ascii="仿宋_GB2312" w:hAnsi="仿宋_GB2312" w:eastAsia="仿宋_GB2312" w:cs="仿宋_GB2312"/>
          <w:color w:val="000000"/>
          <w:sz w:val="32"/>
          <w:szCs w:val="32"/>
        </w:rPr>
        <w:t>推进事业单位工资制度改革。</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rFonts w:ascii="仿宋_GB2312" w:hAnsi="仿宋_GB2312" w:eastAsia="仿宋_GB2312" w:cs="仿宋_GB2312"/>
          <w:color w:val="000000"/>
          <w:sz w:val="32"/>
          <w:szCs w:val="32"/>
        </w:rPr>
      </w:pPr>
      <w:r>
        <w:rPr>
          <w:rFonts w:ascii="楷体" w:hAnsi="楷体" w:eastAsia="楷体" w:cs="楷体"/>
          <w:b/>
          <w:bCs/>
          <w:color w:val="000000"/>
          <w:sz w:val="32"/>
          <w:szCs w:val="32"/>
        </w:rPr>
        <w:t>5.</w:t>
      </w:r>
      <w:r>
        <w:rPr>
          <w:rFonts w:hint="eastAsia" w:ascii="楷体" w:hAnsi="楷体" w:eastAsia="楷体" w:cs="楷体"/>
          <w:b/>
          <w:bCs/>
          <w:color w:val="000000"/>
          <w:sz w:val="32"/>
          <w:szCs w:val="32"/>
        </w:rPr>
        <w:t>构建和谐劳动关系。</w:t>
      </w:r>
      <w:r>
        <w:rPr>
          <w:rFonts w:hint="eastAsia" w:ascii="仿宋_GB2312" w:hAnsi="仿宋_GB2312" w:eastAsia="仿宋_GB2312" w:cs="仿宋_GB2312"/>
          <w:color w:val="000000"/>
          <w:sz w:val="32"/>
          <w:szCs w:val="32"/>
        </w:rPr>
        <w:t>提高劳动关系治理效能，提升调解仲裁工作质效，加大劳动保障监察执法力度，做好农民工服务保障工作。</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40" w:lineRule="exact"/>
        <w:ind w:firstLine="643" w:firstLineChars="200"/>
        <w:textAlignment w:val="auto"/>
        <w:rPr>
          <w:rFonts w:ascii="仿宋_GB2312" w:hAnsi="仿宋_GB2312" w:eastAsia="仿宋_GB2312" w:cs="仿宋_GB2312"/>
          <w:color w:val="000000"/>
          <w:sz w:val="32"/>
          <w:szCs w:val="32"/>
        </w:rPr>
      </w:pPr>
      <w:r>
        <w:rPr>
          <w:rFonts w:ascii="楷体" w:hAnsi="楷体" w:eastAsia="楷体" w:cs="楷体"/>
          <w:b/>
          <w:bCs/>
          <w:color w:val="000000"/>
          <w:sz w:val="32"/>
          <w:szCs w:val="32"/>
        </w:rPr>
        <w:t>6.</w:t>
      </w:r>
      <w:r>
        <w:rPr>
          <w:rFonts w:hint="eastAsia" w:ascii="楷体" w:hAnsi="楷体" w:eastAsia="楷体" w:cs="楷体"/>
          <w:b/>
          <w:bCs/>
          <w:color w:val="000000"/>
          <w:sz w:val="32"/>
          <w:szCs w:val="32"/>
        </w:rPr>
        <w:t>全面助力乡村振兴。</w:t>
      </w:r>
      <w:r>
        <w:rPr>
          <w:rFonts w:hint="eastAsia" w:ascii="仿宋_GB2312" w:hAnsi="仿宋_GB2312" w:eastAsia="仿宋_GB2312" w:cs="仿宋_GB2312"/>
          <w:color w:val="000000"/>
          <w:sz w:val="32"/>
          <w:szCs w:val="32"/>
        </w:rPr>
        <w:t>深入实施脱贫劳动力稳岗就业帮扶行动，不断拓展农村就业空间和农民增收渠道，在技能培训和社保兜底方面精准发力。</w:t>
      </w:r>
    </w:p>
    <w:p>
      <w:pPr>
        <w:pStyle w:val="2"/>
        <w:keepNext w:val="0"/>
        <w:keepLines w:val="0"/>
        <w:pageBreakBefore w:val="0"/>
        <w:widowControl w:val="0"/>
        <w:kinsoku/>
        <w:wordWrap/>
        <w:overflowPunct/>
        <w:topLinePunct w:val="0"/>
        <w:autoSpaceDE/>
        <w:autoSpaceDN/>
        <w:bidi w:val="0"/>
        <w:adjustRightInd/>
        <w:snapToGrid/>
        <w:spacing w:beforeAutospacing="0" w:after="0" w:afterAutospacing="0" w:line="540" w:lineRule="exact"/>
        <w:ind w:firstLine="643" w:firstLineChars="200"/>
        <w:textAlignment w:val="auto"/>
        <w:rPr>
          <w:rFonts w:ascii="仿宋_GB2312" w:hAnsi="仿宋_GB2312" w:eastAsia="仿宋_GB2312" w:cs="仿宋_GB2312"/>
          <w:sz w:val="32"/>
          <w:szCs w:val="32"/>
        </w:rPr>
      </w:pPr>
      <w:r>
        <w:rPr>
          <w:rFonts w:ascii="楷体" w:hAnsi="楷体" w:eastAsia="楷体" w:cs="楷体"/>
          <w:b/>
          <w:bCs/>
          <w:color w:val="000000"/>
          <w:sz w:val="32"/>
          <w:szCs w:val="32"/>
        </w:rPr>
        <w:t>7.</w:t>
      </w:r>
      <w:r>
        <w:rPr>
          <w:rFonts w:hint="eastAsia" w:ascii="楷体" w:hAnsi="楷体" w:eastAsia="楷体" w:cs="楷体"/>
          <w:b/>
          <w:bCs/>
          <w:color w:val="000000"/>
          <w:sz w:val="32"/>
          <w:szCs w:val="32"/>
        </w:rPr>
        <w:t>持续加强行风作风建设。</w:t>
      </w:r>
      <w:r>
        <w:rPr>
          <w:rFonts w:hint="eastAsia" w:ascii="仿宋_GB2312" w:hAnsi="仿宋_GB2312" w:eastAsia="仿宋_GB2312" w:cs="仿宋_GB2312"/>
          <w:sz w:val="32"/>
          <w:szCs w:val="32"/>
        </w:rPr>
        <w:t>提升人社领域营商环境，推进人社信息化建设，推进法治人社建设，持续夯实工作基础。</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spacing w:val="-6"/>
          <w:sz w:val="32"/>
          <w:szCs w:val="32"/>
        </w:rPr>
      </w:pPr>
      <w:r>
        <w:rPr>
          <w:rFonts w:ascii="楷体" w:hAnsi="楷体" w:eastAsia="楷体" w:cs="楷体"/>
          <w:b/>
          <w:bCs/>
          <w:color w:val="000000"/>
          <w:sz w:val="32"/>
          <w:szCs w:val="32"/>
        </w:rPr>
        <w:t>8.</w:t>
      </w:r>
      <w:r>
        <w:rPr>
          <w:rFonts w:hint="eastAsia" w:ascii="楷体" w:hAnsi="楷体" w:eastAsia="楷体" w:cs="楷体"/>
          <w:b/>
          <w:bCs/>
          <w:color w:val="000000"/>
          <w:sz w:val="32"/>
          <w:szCs w:val="32"/>
        </w:rPr>
        <w:t>全面提高党的建设质量。</w:t>
      </w:r>
      <w:r>
        <w:rPr>
          <w:rFonts w:hint="eastAsia" w:ascii="仿宋_GB2312" w:hAnsi="仿宋_GB2312" w:eastAsia="仿宋_GB2312" w:cs="仿宋_GB2312"/>
          <w:color w:val="000000"/>
          <w:spacing w:val="-6"/>
          <w:sz w:val="32"/>
          <w:szCs w:val="32"/>
        </w:rPr>
        <w:t>坚持强化政治担当，持续加强干部队伍建设，深入推进全面从严治党，持之以恒强化正风肃纪。</w:t>
      </w:r>
    </w:p>
    <w:p>
      <w:pPr>
        <w:keepNext w:val="0"/>
        <w:keepLines w:val="0"/>
        <w:pageBreakBefore w:val="0"/>
        <w:widowControl w:val="0"/>
        <w:numPr>
          <w:ilvl w:val="0"/>
          <w:numId w:val="2"/>
        </w:numPr>
        <w:kinsoku/>
        <w:wordWrap/>
        <w:overflowPunct/>
        <w:topLinePunct w:val="0"/>
        <w:autoSpaceDE/>
        <w:autoSpaceDN/>
        <w:bidi w:val="0"/>
        <w:adjustRightInd/>
        <w:snapToGrid/>
        <w:spacing w:beforeAutospacing="0" w:afterAutospacing="0" w:line="540" w:lineRule="exact"/>
        <w:ind w:firstLine="31680"/>
        <w:textAlignment w:val="auto"/>
        <w:rPr>
          <w:rFonts w:ascii="宋体" w:hAnsi="宋体" w:cs="宋体"/>
          <w:b/>
          <w:bCs/>
          <w:sz w:val="32"/>
          <w:szCs w:val="32"/>
        </w:rPr>
      </w:pPr>
      <w:r>
        <w:rPr>
          <w:rFonts w:hint="eastAsia" w:ascii="宋体" w:hAnsi="宋体" w:cs="宋体"/>
          <w:b/>
          <w:bCs/>
          <w:sz w:val="32"/>
          <w:szCs w:val="32"/>
        </w:rPr>
        <w:t>部门预算单位</w:t>
      </w:r>
      <w:r>
        <w:rPr>
          <w:rFonts w:ascii="宋体" w:hAnsi="宋体" w:cs="宋体"/>
          <w:b/>
          <w:bCs/>
          <w:sz w:val="32"/>
          <w:szCs w:val="32"/>
        </w:rPr>
        <w:t xml:space="preserve"> </w:t>
      </w:r>
    </w:p>
    <w:p>
      <w:pPr>
        <w:keepNext w:val="0"/>
        <w:keepLines w:val="0"/>
        <w:pageBreakBefore w:val="0"/>
        <w:widowControl w:val="0"/>
        <w:kinsoku/>
        <w:wordWrap/>
        <w:overflowPunct/>
        <w:topLinePunct w:val="0"/>
        <w:autoSpaceDE/>
        <w:autoSpaceDN/>
        <w:bidi w:val="0"/>
        <w:adjustRightInd/>
        <w:snapToGrid/>
        <w:spacing w:beforeAutospacing="0" w:afterAutospacing="0" w:line="540" w:lineRule="exact"/>
        <w:ind w:firstLine="31680"/>
        <w:textAlignment w:val="auto"/>
        <w:rPr>
          <w:rFonts w:ascii="宋体" w:cs="宋体"/>
          <w:b/>
          <w:bCs/>
          <w:sz w:val="32"/>
          <w:szCs w:val="32"/>
        </w:rPr>
      </w:pPr>
      <w:r>
        <w:rPr>
          <w:rFonts w:hint="eastAsia" w:ascii="仿宋_GB2312" w:hAnsi="仿宋_GB2312" w:eastAsia="仿宋_GB2312" w:cs="仿宋_GB2312"/>
          <w:sz w:val="32"/>
          <w:szCs w:val="32"/>
        </w:rPr>
        <w:t>纳入本部门当年预算编制范围的预算单位共有</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个，包括：</w:t>
      </w:r>
    </w:p>
    <w:tbl>
      <w:tblPr>
        <w:tblStyle w:val="6"/>
        <w:tblpPr w:leftFromText="180" w:rightFromText="180" w:vertAnchor="text" w:horzAnchor="margin" w:tblpXSpec="center" w:tblpY="470"/>
        <w:tblW w:w="85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50"/>
        <w:gridCol w:w="4541"/>
        <w:gridCol w:w="2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6" w:hRule="atLeast"/>
        </w:trPr>
        <w:tc>
          <w:tcPr>
            <w:tcW w:w="1250" w:type="dxa"/>
            <w:noWrap/>
            <w:vAlign w:val="center"/>
          </w:tcPr>
          <w:p>
            <w:pPr>
              <w:ind w:left="0" w:leftChars="0" w:firstLine="0" w:firstLineChars="0"/>
              <w:jc w:val="center"/>
              <w:rPr>
                <w:rFonts w:hint="eastAsia" w:ascii="仿宋" w:hAnsi="仿宋" w:eastAsia="仿宋" w:cs="仿宋"/>
                <w:sz w:val="28"/>
                <w:szCs w:val="28"/>
              </w:rPr>
            </w:pPr>
            <w:r>
              <w:rPr>
                <w:rFonts w:hint="eastAsia" w:ascii="仿宋" w:hAnsi="仿宋" w:eastAsia="仿宋" w:cs="仿宋"/>
                <w:sz w:val="28"/>
                <w:szCs w:val="28"/>
              </w:rPr>
              <w:t>序号</w:t>
            </w:r>
          </w:p>
        </w:tc>
        <w:tc>
          <w:tcPr>
            <w:tcW w:w="4541" w:type="dxa"/>
            <w:noWrap/>
            <w:vAlign w:val="center"/>
          </w:tcPr>
          <w:p>
            <w:pPr>
              <w:ind w:left="0" w:leftChars="0"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2768" w:type="dxa"/>
            <w:noWrap/>
            <w:vAlign w:val="center"/>
          </w:tcPr>
          <w:p>
            <w:pPr>
              <w:ind w:left="0" w:leftChars="0" w:firstLine="0" w:firstLineChars="0"/>
              <w:jc w:val="center"/>
              <w:rPr>
                <w:rFonts w:hint="eastAsia" w:ascii="仿宋" w:hAnsi="仿宋" w:eastAsia="仿宋" w:cs="仿宋"/>
                <w:sz w:val="28"/>
                <w:szCs w:val="28"/>
              </w:rPr>
            </w:pPr>
            <w:r>
              <w:rPr>
                <w:rFonts w:hint="eastAsia" w:ascii="仿宋" w:hAnsi="仿宋" w:eastAsia="仿宋" w:cs="仿宋"/>
                <w:sz w:val="28"/>
                <w:szCs w:val="28"/>
              </w:rPr>
              <w:t>拟变动情况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5" w:hRule="atLeast"/>
        </w:trPr>
        <w:tc>
          <w:tcPr>
            <w:tcW w:w="1250" w:type="dxa"/>
            <w:noWrap/>
            <w:vAlign w:val="center"/>
          </w:tcPr>
          <w:p>
            <w:pPr>
              <w:ind w:firstLine="31680"/>
              <w:jc w:val="center"/>
              <w:rPr>
                <w:rFonts w:hint="eastAsia" w:ascii="仿宋" w:hAnsi="仿宋" w:eastAsia="仿宋" w:cs="仿宋"/>
                <w:sz w:val="28"/>
                <w:szCs w:val="28"/>
              </w:rPr>
            </w:pPr>
            <w:r>
              <w:rPr>
                <w:rFonts w:hint="eastAsia" w:ascii="仿宋" w:hAnsi="仿宋" w:eastAsia="仿宋" w:cs="仿宋"/>
                <w:sz w:val="28"/>
                <w:szCs w:val="28"/>
              </w:rPr>
              <w:t>1</w:t>
            </w:r>
          </w:p>
        </w:tc>
        <w:tc>
          <w:tcPr>
            <w:tcW w:w="4541" w:type="dxa"/>
            <w:noWrap/>
            <w:vAlign w:val="center"/>
          </w:tcPr>
          <w:p>
            <w:pPr>
              <w:ind w:firstLine="0" w:firstLineChars="0"/>
              <w:jc w:val="center"/>
              <w:rPr>
                <w:rFonts w:hint="eastAsia" w:ascii="仿宋" w:hAnsi="仿宋" w:eastAsia="仿宋" w:cs="仿宋"/>
                <w:sz w:val="28"/>
                <w:szCs w:val="28"/>
              </w:rPr>
            </w:pPr>
            <w:r>
              <w:rPr>
                <w:rFonts w:hint="eastAsia" w:ascii="仿宋" w:hAnsi="仿宋" w:eastAsia="仿宋" w:cs="仿宋"/>
                <w:position w:val="-1"/>
                <w:sz w:val="28"/>
                <w:szCs w:val="28"/>
              </w:rPr>
              <w:t>商洛市人力资源和社会保障局</w:t>
            </w:r>
          </w:p>
        </w:tc>
        <w:tc>
          <w:tcPr>
            <w:tcW w:w="2768" w:type="dxa"/>
            <w:noWrap/>
            <w:vAlign w:val="center"/>
          </w:tcPr>
          <w:p>
            <w:pPr>
              <w:ind w:left="0" w:leftChars="0" w:firstLine="0" w:firstLineChars="0"/>
              <w:jc w:val="center"/>
              <w:rPr>
                <w:rFonts w:hint="eastAsia" w:ascii="仿宋" w:hAnsi="仿宋" w:eastAsia="仿宋" w:cs="仿宋"/>
                <w:sz w:val="28"/>
                <w:szCs w:val="28"/>
              </w:rPr>
            </w:pPr>
            <w:r>
              <w:rPr>
                <w:rFonts w:hint="eastAsia" w:ascii="仿宋" w:hAnsi="仿宋" w:eastAsia="仿宋" w:cs="仿宋"/>
                <w:sz w:val="28"/>
                <w:szCs w:val="28"/>
              </w:rPr>
              <w:t>无</w:t>
            </w:r>
          </w:p>
        </w:tc>
      </w:tr>
    </w:tbl>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宋体" w:cs="宋体"/>
          <w:b/>
          <w:bCs/>
          <w:sz w:val="32"/>
          <w:szCs w:val="32"/>
        </w:rPr>
      </w:pPr>
      <w:r>
        <w:rPr>
          <w:rFonts w:hint="eastAsia" w:ascii="宋体" w:hAnsi="宋体" w:cs="宋体"/>
          <w:b/>
          <w:bCs/>
          <w:sz w:val="32"/>
          <w:szCs w:val="32"/>
        </w:rPr>
        <w:t>四、部门人员情况说明</w:t>
      </w:r>
    </w:p>
    <w:p>
      <w:pPr>
        <w:keepNext w:val="0"/>
        <w:keepLines w:val="0"/>
        <w:pageBreakBefore w:val="0"/>
        <w:widowControl w:val="0"/>
        <w:tabs>
          <w:tab w:val="left" w:pos="6643"/>
        </w:tabs>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sz w:val="32"/>
          <w:szCs w:val="32"/>
        </w:rPr>
      </w:pPr>
      <w:r>
        <w:rPr>
          <w:rFonts w:hint="eastAsia" w:ascii="仿宋_GB2312" w:hAnsi="仿宋_GB2312" w:eastAsia="仿宋_GB2312" w:cs="仿宋_GB2312"/>
          <w:sz w:val="32"/>
          <w:szCs w:val="32"/>
        </w:rPr>
        <w:t>截止</w:t>
      </w:r>
      <w:r>
        <w:rPr>
          <w:rFonts w:ascii="仿宋_GB2312" w:hAnsi="仿宋_GB2312" w:eastAsia="仿宋_GB2312" w:cs="仿宋_GB2312"/>
          <w:sz w:val="32"/>
          <w:szCs w:val="32"/>
        </w:rPr>
        <w:t>2022</w:t>
      </w:r>
      <w:r>
        <w:rPr>
          <w:rFonts w:hint="eastAsia" w:ascii="仿宋_GB2312" w:hAnsi="仿宋_GB2312" w:eastAsia="仿宋_GB2312" w:cs="仿宋_GB2312"/>
          <w:sz w:val="32"/>
          <w:szCs w:val="32"/>
        </w:rPr>
        <w:t>年底，本部门人员编制</w:t>
      </w:r>
      <w:r>
        <w:rPr>
          <w:rFonts w:ascii="仿宋_GB2312" w:hAnsi="仿宋_GB2312" w:eastAsia="仿宋_GB2312" w:cs="仿宋_GB2312"/>
          <w:sz w:val="32"/>
          <w:szCs w:val="32"/>
        </w:rPr>
        <w:t>61</w:t>
      </w:r>
      <w:r>
        <w:rPr>
          <w:rFonts w:hint="eastAsia" w:ascii="仿宋_GB2312" w:hAnsi="仿宋_GB2312" w:eastAsia="仿宋_GB2312" w:cs="仿宋_GB2312"/>
          <w:sz w:val="32"/>
          <w:szCs w:val="32"/>
        </w:rPr>
        <w:t>人，其中行政编制</w:t>
      </w:r>
      <w:r>
        <w:rPr>
          <w:rFonts w:ascii="仿宋_GB2312" w:hAnsi="仿宋_GB2312" w:eastAsia="仿宋_GB2312" w:cs="仿宋_GB2312"/>
          <w:sz w:val="32"/>
          <w:szCs w:val="32"/>
        </w:rPr>
        <w:t>22</w:t>
      </w:r>
      <w:r>
        <w:rPr>
          <w:rFonts w:hint="eastAsia" w:ascii="仿宋_GB2312" w:hAnsi="仿宋_GB2312" w:eastAsia="仿宋_GB2312" w:cs="仿宋_GB2312"/>
          <w:sz w:val="32"/>
          <w:szCs w:val="32"/>
        </w:rPr>
        <w:t>人、事业编制</w:t>
      </w:r>
      <w:r>
        <w:rPr>
          <w:rFonts w:ascii="仿宋_GB2312" w:hAnsi="仿宋_GB2312" w:eastAsia="仿宋_GB2312" w:cs="仿宋_GB2312"/>
          <w:sz w:val="32"/>
          <w:szCs w:val="32"/>
        </w:rPr>
        <w:t>39</w:t>
      </w:r>
      <w:r>
        <w:rPr>
          <w:rFonts w:hint="eastAsia" w:ascii="仿宋_GB2312" w:hAnsi="仿宋_GB2312" w:eastAsia="仿宋_GB2312" w:cs="仿宋_GB2312"/>
          <w:sz w:val="32"/>
          <w:szCs w:val="32"/>
        </w:rPr>
        <w:t>人；实有人员</w:t>
      </w:r>
      <w:r>
        <w:rPr>
          <w:rFonts w:ascii="仿宋_GB2312" w:hAnsi="仿宋_GB2312" w:eastAsia="仿宋_GB2312" w:cs="仿宋_GB2312"/>
          <w:sz w:val="32"/>
          <w:szCs w:val="32"/>
        </w:rPr>
        <w:t>63</w:t>
      </w:r>
      <w:r>
        <w:rPr>
          <w:rFonts w:hint="eastAsia" w:ascii="仿宋_GB2312" w:hAnsi="仿宋_GB2312" w:eastAsia="仿宋_GB2312" w:cs="仿宋_GB2312"/>
          <w:sz w:val="32"/>
          <w:szCs w:val="32"/>
        </w:rPr>
        <w:t>人，其中行政</w:t>
      </w:r>
      <w:r>
        <w:rPr>
          <w:rFonts w:ascii="仿宋_GB2312" w:hAnsi="仿宋_GB2312" w:eastAsia="仿宋_GB2312" w:cs="仿宋_GB2312"/>
          <w:sz w:val="32"/>
          <w:szCs w:val="32"/>
        </w:rPr>
        <w:t>34</w:t>
      </w:r>
      <w:r>
        <w:rPr>
          <w:rFonts w:hint="eastAsia" w:ascii="仿宋_GB2312" w:hAnsi="仿宋_GB2312" w:eastAsia="仿宋_GB2312" w:cs="仿宋_GB2312"/>
          <w:sz w:val="32"/>
          <w:szCs w:val="32"/>
        </w:rPr>
        <w:t>人、事业</w:t>
      </w:r>
      <w:r>
        <w:rPr>
          <w:rFonts w:ascii="仿宋_GB2312" w:hAnsi="仿宋_GB2312" w:eastAsia="仿宋_GB2312" w:cs="仿宋_GB2312"/>
          <w:sz w:val="32"/>
          <w:szCs w:val="32"/>
        </w:rPr>
        <w:t>29</w:t>
      </w:r>
      <w:r>
        <w:rPr>
          <w:rFonts w:hint="eastAsia" w:ascii="仿宋_GB2312" w:hAnsi="仿宋_GB2312" w:eastAsia="仿宋_GB2312" w:cs="仿宋_GB2312"/>
          <w:sz w:val="32"/>
          <w:szCs w:val="32"/>
        </w:rPr>
        <w:t>人。单位管理的离退休人员</w:t>
      </w:r>
      <w:r>
        <w:rPr>
          <w:rFonts w:ascii="仿宋_GB2312" w:hAnsi="仿宋_GB2312" w:eastAsia="仿宋_GB2312" w:cs="仿宋_GB2312"/>
          <w:sz w:val="32"/>
          <w:szCs w:val="32"/>
        </w:rPr>
        <w:t>30</w:t>
      </w:r>
      <w:r>
        <w:rPr>
          <w:rFonts w:hint="eastAsia" w:ascii="仿宋_GB2312" w:hAnsi="仿宋_GB2312" w:eastAsia="仿宋_GB2312" w:cs="仿宋_GB2312"/>
          <w:sz w:val="32"/>
          <w:szCs w:val="32"/>
        </w:rPr>
        <w:t>人。</w:t>
      </w:r>
    </w:p>
    <w:p>
      <w:pPr>
        <w:spacing w:line="360" w:lineRule="auto"/>
        <w:ind w:firstLine="31680"/>
      </w:pPr>
    </w:p>
    <w:p>
      <w:pPr>
        <w:spacing w:line="360" w:lineRule="auto"/>
        <w:ind w:firstLine="31680"/>
        <w:rPr>
          <w:rFonts w:ascii="仿宋" w:hAnsi="仿宋" w:eastAsia="仿宋" w:cs="仿宋"/>
          <w:sz w:val="32"/>
          <w:szCs w:val="32"/>
        </w:rPr>
      </w:pPr>
      <w:r>
        <w:pict>
          <v:shape id="_x0000_i1025" o:spt="75" type="#_x0000_t75" style="height:218.25pt;width:362.25pt;" filled="f" o:preferrelative="t" stroked="f" coordsize="21600,21600">
            <v:path/>
            <v:fill on="f" focussize="0,0"/>
            <v:stroke on="f" joinstyle="miter"/>
            <v:imagedata r:id="rId5" o:title=""/>
            <o:lock v:ext="edit" aspectratio="t"/>
            <w10:wrap type="none"/>
            <w10:anchorlock/>
          </v:shape>
        </w:pict>
      </w:r>
    </w:p>
    <w:p>
      <w:pPr>
        <w:spacing w:line="360" w:lineRule="auto"/>
        <w:ind w:firstLine="3168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第二部分</w:t>
      </w:r>
      <w:r>
        <w:rPr>
          <w:rFonts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rPr>
        <w:t>收支情况</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四、收支说明</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（一）收支预算总体情况</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 w:hAnsi="仿宋" w:eastAsia="仿宋" w:cs="仿宋"/>
          <w:sz w:val="32"/>
          <w:szCs w:val="32"/>
        </w:rPr>
        <w:t>按照综合预算的原则，</w:t>
      </w:r>
      <w:r>
        <w:rPr>
          <w:rFonts w:hint="eastAsia" w:ascii="仿宋_GB2312" w:hAnsi="仿宋_GB2312" w:eastAsia="仿宋_GB2312" w:cs="仿宋_GB2312"/>
          <w:sz w:val="32"/>
          <w:szCs w:val="32"/>
        </w:rPr>
        <w:t>本单位</w:t>
      </w:r>
      <w:r>
        <w:rPr>
          <w:rFonts w:hint="eastAsia" w:ascii="仿宋" w:hAnsi="仿宋" w:eastAsia="仿宋" w:cs="仿宋"/>
          <w:sz w:val="32"/>
          <w:szCs w:val="32"/>
        </w:rPr>
        <w:t>所有收入和支出均纳入部门预算管理。本单位当年预算收入</w:t>
      </w:r>
      <w:r>
        <w:rPr>
          <w:rFonts w:ascii="仿宋" w:hAnsi="仿宋" w:eastAsia="仿宋" w:cs="仿宋"/>
          <w:sz w:val="32"/>
          <w:szCs w:val="32"/>
        </w:rPr>
        <w:t>1160.06</w:t>
      </w:r>
      <w:r>
        <w:rPr>
          <w:rFonts w:hint="eastAsia" w:ascii="仿宋" w:hAnsi="仿宋" w:eastAsia="仿宋" w:cs="仿宋"/>
          <w:sz w:val="32"/>
          <w:szCs w:val="32"/>
        </w:rPr>
        <w:t>万元、其中一般公共预算拨款收入</w:t>
      </w:r>
      <w:r>
        <w:rPr>
          <w:rFonts w:ascii="仿宋" w:hAnsi="仿宋" w:eastAsia="仿宋" w:cs="仿宋"/>
          <w:sz w:val="32"/>
          <w:szCs w:val="32"/>
        </w:rPr>
        <w:t>1160.06</w:t>
      </w:r>
      <w:r>
        <w:rPr>
          <w:rFonts w:hint="eastAsia" w:ascii="仿宋" w:hAnsi="仿宋" w:eastAsia="仿宋" w:cs="仿宋"/>
          <w:sz w:val="32"/>
          <w:szCs w:val="32"/>
        </w:rPr>
        <w:t>万元、政府性基金拨款收入</w:t>
      </w:r>
      <w:r>
        <w:rPr>
          <w:rFonts w:ascii="仿宋" w:hAnsi="仿宋" w:eastAsia="仿宋" w:cs="仿宋"/>
          <w:sz w:val="32"/>
          <w:szCs w:val="32"/>
        </w:rPr>
        <w:t>0.00</w:t>
      </w:r>
      <w:r>
        <w:rPr>
          <w:rFonts w:hint="eastAsia" w:ascii="仿宋" w:hAnsi="仿宋" w:eastAsia="仿宋" w:cs="仿宋"/>
          <w:sz w:val="32"/>
          <w:szCs w:val="32"/>
        </w:rPr>
        <w:t>万元、上级补助收入</w:t>
      </w:r>
      <w:r>
        <w:rPr>
          <w:rFonts w:ascii="仿宋" w:hAnsi="仿宋" w:eastAsia="仿宋" w:cs="仿宋"/>
          <w:sz w:val="32"/>
          <w:szCs w:val="32"/>
        </w:rPr>
        <w:t>0.00</w:t>
      </w:r>
      <w:r>
        <w:rPr>
          <w:rFonts w:hint="eastAsia" w:ascii="仿宋" w:hAnsi="仿宋" w:eastAsia="仿宋" w:cs="仿宋"/>
          <w:sz w:val="32"/>
          <w:szCs w:val="32"/>
        </w:rPr>
        <w:t>万元、事业收入</w:t>
      </w:r>
      <w:r>
        <w:rPr>
          <w:rFonts w:ascii="仿宋" w:hAnsi="仿宋" w:eastAsia="仿宋" w:cs="仿宋"/>
          <w:sz w:val="32"/>
          <w:szCs w:val="32"/>
        </w:rPr>
        <w:t>0.00</w:t>
      </w:r>
      <w:r>
        <w:rPr>
          <w:rFonts w:hint="eastAsia" w:ascii="仿宋" w:hAnsi="仿宋" w:eastAsia="仿宋" w:cs="仿宋"/>
          <w:sz w:val="32"/>
          <w:szCs w:val="32"/>
        </w:rPr>
        <w:t>万元、事业单位经营收入</w:t>
      </w:r>
      <w:r>
        <w:rPr>
          <w:rFonts w:ascii="仿宋" w:hAnsi="仿宋" w:eastAsia="仿宋" w:cs="仿宋"/>
          <w:sz w:val="32"/>
          <w:szCs w:val="32"/>
        </w:rPr>
        <w:t>0.00</w:t>
      </w:r>
      <w:r>
        <w:rPr>
          <w:rFonts w:hint="eastAsia" w:ascii="仿宋" w:hAnsi="仿宋" w:eastAsia="仿宋" w:cs="仿宋"/>
          <w:sz w:val="32"/>
          <w:szCs w:val="32"/>
        </w:rPr>
        <w:t>万元、对附属单位上缴收入</w:t>
      </w:r>
      <w:r>
        <w:rPr>
          <w:rFonts w:ascii="仿宋" w:hAnsi="仿宋" w:eastAsia="仿宋" w:cs="仿宋"/>
          <w:sz w:val="32"/>
          <w:szCs w:val="32"/>
        </w:rPr>
        <w:t>0.00</w:t>
      </w:r>
      <w:r>
        <w:rPr>
          <w:rFonts w:hint="eastAsia" w:ascii="仿宋" w:hAnsi="仿宋" w:eastAsia="仿宋" w:cs="仿宋"/>
          <w:sz w:val="32"/>
          <w:szCs w:val="32"/>
        </w:rPr>
        <w:t>万元、用事业基金弥补收支差额</w:t>
      </w:r>
      <w:r>
        <w:rPr>
          <w:rFonts w:ascii="仿宋" w:hAnsi="仿宋" w:eastAsia="仿宋" w:cs="仿宋"/>
          <w:sz w:val="32"/>
          <w:szCs w:val="32"/>
        </w:rPr>
        <w:t>0.00</w:t>
      </w:r>
      <w:r>
        <w:rPr>
          <w:rFonts w:hint="eastAsia" w:ascii="仿宋" w:hAnsi="仿宋" w:eastAsia="仿宋" w:cs="仿宋"/>
          <w:sz w:val="32"/>
          <w:szCs w:val="32"/>
        </w:rPr>
        <w:t>万元、上年结转</w:t>
      </w:r>
      <w:r>
        <w:rPr>
          <w:rFonts w:ascii="仿宋" w:hAnsi="仿宋" w:eastAsia="仿宋" w:cs="仿宋"/>
          <w:sz w:val="32"/>
          <w:szCs w:val="32"/>
        </w:rPr>
        <w:t>0.00</w:t>
      </w:r>
      <w:r>
        <w:rPr>
          <w:rFonts w:hint="eastAsia" w:ascii="仿宋" w:hAnsi="仿宋" w:eastAsia="仿宋" w:cs="仿宋"/>
          <w:sz w:val="32"/>
          <w:szCs w:val="32"/>
        </w:rPr>
        <w:t>万元、上年实户资金余额</w:t>
      </w:r>
      <w:r>
        <w:rPr>
          <w:rFonts w:ascii="仿宋" w:hAnsi="仿宋" w:eastAsia="仿宋" w:cs="仿宋"/>
          <w:sz w:val="32"/>
          <w:szCs w:val="32"/>
        </w:rPr>
        <w:t>0.00</w:t>
      </w:r>
      <w:r>
        <w:rPr>
          <w:rFonts w:hint="eastAsia" w:ascii="仿宋" w:hAnsi="仿宋" w:eastAsia="仿宋" w:cs="仿宋"/>
          <w:sz w:val="32"/>
          <w:szCs w:val="32"/>
        </w:rPr>
        <w:t>万元、其他收入</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363.17</w:t>
      </w:r>
      <w:r>
        <w:rPr>
          <w:rFonts w:hint="eastAsia" w:ascii="仿宋" w:hAnsi="仿宋" w:eastAsia="仿宋" w:cs="仿宋"/>
          <w:sz w:val="32"/>
          <w:szCs w:val="32"/>
        </w:rPr>
        <w:t>万元，主要原因是工资普调后人员和公用经费预算增增加；</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本单位当年预算支出</w:t>
      </w:r>
      <w:r>
        <w:rPr>
          <w:rFonts w:ascii="仿宋" w:hAnsi="仿宋" w:eastAsia="仿宋" w:cs="仿宋"/>
          <w:sz w:val="32"/>
          <w:szCs w:val="32"/>
        </w:rPr>
        <w:t>1160.06</w:t>
      </w:r>
      <w:r>
        <w:rPr>
          <w:rFonts w:hint="eastAsia" w:ascii="仿宋" w:hAnsi="仿宋" w:eastAsia="仿宋" w:cs="仿宋"/>
          <w:sz w:val="32"/>
          <w:szCs w:val="32"/>
        </w:rPr>
        <w:t>万元，其中一般公共预算拨款支出</w:t>
      </w:r>
      <w:r>
        <w:rPr>
          <w:rFonts w:ascii="仿宋" w:hAnsi="仿宋" w:eastAsia="仿宋" w:cs="仿宋"/>
          <w:sz w:val="32"/>
          <w:szCs w:val="32"/>
        </w:rPr>
        <w:t>1160.06</w:t>
      </w:r>
      <w:r>
        <w:rPr>
          <w:rFonts w:hint="eastAsia" w:ascii="仿宋" w:hAnsi="仿宋" w:eastAsia="仿宋" w:cs="仿宋"/>
          <w:sz w:val="32"/>
          <w:szCs w:val="32"/>
        </w:rPr>
        <w:t>万元、政府性基金拨款支出</w:t>
      </w:r>
      <w:r>
        <w:rPr>
          <w:rFonts w:ascii="仿宋" w:hAnsi="仿宋" w:eastAsia="仿宋" w:cs="仿宋"/>
          <w:sz w:val="32"/>
          <w:szCs w:val="32"/>
        </w:rPr>
        <w:t>0.00</w:t>
      </w:r>
      <w:r>
        <w:rPr>
          <w:rFonts w:hint="eastAsia" w:ascii="仿宋" w:hAnsi="仿宋" w:eastAsia="仿宋" w:cs="仿宋"/>
          <w:sz w:val="32"/>
          <w:szCs w:val="32"/>
        </w:rPr>
        <w:t>万元、事业收入</w:t>
      </w:r>
      <w:r>
        <w:rPr>
          <w:rFonts w:ascii="仿宋" w:hAnsi="仿宋" w:eastAsia="仿宋" w:cs="仿宋"/>
          <w:sz w:val="32"/>
          <w:szCs w:val="32"/>
        </w:rPr>
        <w:t>0.00</w:t>
      </w:r>
      <w:r>
        <w:rPr>
          <w:rFonts w:hint="eastAsia" w:ascii="仿宋" w:hAnsi="仿宋" w:eastAsia="仿宋" w:cs="仿宋"/>
          <w:sz w:val="32"/>
          <w:szCs w:val="32"/>
        </w:rPr>
        <w:t>万元、事业单位经营收入</w:t>
      </w:r>
      <w:r>
        <w:rPr>
          <w:rFonts w:ascii="仿宋" w:hAnsi="仿宋" w:eastAsia="仿宋" w:cs="仿宋"/>
          <w:sz w:val="32"/>
          <w:szCs w:val="32"/>
        </w:rPr>
        <w:t>0.00</w:t>
      </w:r>
      <w:r>
        <w:rPr>
          <w:rFonts w:hint="eastAsia" w:ascii="仿宋" w:hAnsi="仿宋" w:eastAsia="仿宋" w:cs="仿宋"/>
          <w:sz w:val="32"/>
          <w:szCs w:val="32"/>
        </w:rPr>
        <w:t>万元、对附属单位上缴收入</w:t>
      </w:r>
      <w:r>
        <w:rPr>
          <w:rFonts w:ascii="仿宋" w:hAnsi="仿宋" w:eastAsia="仿宋" w:cs="仿宋"/>
          <w:sz w:val="32"/>
          <w:szCs w:val="32"/>
        </w:rPr>
        <w:t>0.00</w:t>
      </w:r>
      <w:r>
        <w:rPr>
          <w:rFonts w:hint="eastAsia" w:ascii="仿宋" w:hAnsi="仿宋" w:eastAsia="仿宋" w:cs="仿宋"/>
          <w:sz w:val="32"/>
          <w:szCs w:val="32"/>
        </w:rPr>
        <w:t>万元、上年实户资金余额</w:t>
      </w:r>
      <w:r>
        <w:rPr>
          <w:rFonts w:ascii="仿宋" w:hAnsi="仿宋" w:eastAsia="仿宋" w:cs="仿宋"/>
          <w:sz w:val="32"/>
          <w:szCs w:val="32"/>
        </w:rPr>
        <w:t>0.00</w:t>
      </w:r>
      <w:r>
        <w:rPr>
          <w:rFonts w:hint="eastAsia" w:ascii="仿宋" w:hAnsi="仿宋" w:eastAsia="仿宋" w:cs="仿宋"/>
          <w:sz w:val="32"/>
          <w:szCs w:val="32"/>
        </w:rPr>
        <w:t>万元、其他收入</w:t>
      </w:r>
      <w:r>
        <w:rPr>
          <w:rFonts w:ascii="仿宋" w:hAnsi="仿宋" w:eastAsia="仿宋" w:cs="仿宋"/>
          <w:sz w:val="32"/>
          <w:szCs w:val="32"/>
        </w:rPr>
        <w:t>0.00</w:t>
      </w:r>
      <w:r>
        <w:rPr>
          <w:rFonts w:hint="eastAsia" w:ascii="仿宋" w:hAnsi="仿宋" w:eastAsia="仿宋" w:cs="仿宋"/>
          <w:sz w:val="32"/>
          <w:szCs w:val="32"/>
        </w:rPr>
        <w:t>万元、上年结转</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363.17</w:t>
      </w:r>
      <w:r>
        <w:rPr>
          <w:rFonts w:hint="eastAsia" w:ascii="仿宋" w:hAnsi="仿宋" w:eastAsia="仿宋" w:cs="仿宋"/>
          <w:sz w:val="32"/>
          <w:szCs w:val="32"/>
        </w:rPr>
        <w:t>万元，主要原因工资普调后人员和公用经费预算增增加；</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b/>
          <w:bCs/>
          <w:sz w:val="32"/>
          <w:szCs w:val="32"/>
        </w:rPr>
      </w:pPr>
      <w:r>
        <w:rPr>
          <w:rFonts w:hint="eastAsia" w:ascii="仿宋" w:hAnsi="仿宋" w:eastAsia="仿宋" w:cs="仿宋"/>
          <w:b/>
          <w:bCs/>
          <w:sz w:val="32"/>
          <w:szCs w:val="32"/>
        </w:rPr>
        <w:t>（二）财政拨款收支情况。</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_GB2312" w:hAnsi="仿宋_GB2312" w:eastAsia="仿宋_GB2312" w:cs="仿宋_GB2312"/>
          <w:sz w:val="32"/>
          <w:szCs w:val="32"/>
        </w:rPr>
        <w:t>本单位当年</w:t>
      </w:r>
      <w:r>
        <w:rPr>
          <w:rFonts w:hint="eastAsia" w:ascii="仿宋" w:hAnsi="仿宋" w:eastAsia="仿宋" w:cs="仿宋"/>
          <w:sz w:val="32"/>
          <w:szCs w:val="32"/>
        </w:rPr>
        <w:t>财政拨款收入</w:t>
      </w:r>
      <w:r>
        <w:rPr>
          <w:rFonts w:ascii="仿宋" w:hAnsi="仿宋" w:eastAsia="仿宋" w:cs="仿宋"/>
          <w:sz w:val="32"/>
          <w:szCs w:val="32"/>
        </w:rPr>
        <w:t>1160.06</w:t>
      </w:r>
      <w:r>
        <w:rPr>
          <w:rFonts w:hint="eastAsia" w:ascii="仿宋" w:hAnsi="仿宋" w:eastAsia="仿宋" w:cs="仿宋"/>
          <w:sz w:val="32"/>
          <w:szCs w:val="32"/>
        </w:rPr>
        <w:t>万元，其中一般公共预算拨款收入</w:t>
      </w:r>
      <w:r>
        <w:rPr>
          <w:rFonts w:ascii="仿宋" w:hAnsi="仿宋" w:eastAsia="仿宋" w:cs="仿宋"/>
          <w:sz w:val="32"/>
          <w:szCs w:val="32"/>
        </w:rPr>
        <w:t>1160.06</w:t>
      </w:r>
      <w:r>
        <w:rPr>
          <w:rFonts w:hint="eastAsia" w:ascii="仿宋" w:hAnsi="仿宋" w:eastAsia="仿宋" w:cs="仿宋"/>
          <w:sz w:val="32"/>
          <w:szCs w:val="32"/>
        </w:rPr>
        <w:t>万元、政府性基金拨款收入</w:t>
      </w:r>
      <w:r>
        <w:rPr>
          <w:rFonts w:ascii="仿宋" w:hAnsi="仿宋" w:eastAsia="仿宋" w:cs="仿宋"/>
          <w:sz w:val="32"/>
          <w:szCs w:val="32"/>
        </w:rPr>
        <w:t>0.00</w:t>
      </w:r>
      <w:r>
        <w:rPr>
          <w:rFonts w:hint="eastAsia" w:ascii="仿宋" w:hAnsi="仿宋" w:eastAsia="仿宋" w:cs="仿宋"/>
          <w:sz w:val="32"/>
          <w:szCs w:val="32"/>
        </w:rPr>
        <w:t>万元、上年结转</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363.17</w:t>
      </w:r>
      <w:r>
        <w:rPr>
          <w:rFonts w:hint="eastAsia" w:ascii="仿宋" w:hAnsi="仿宋" w:eastAsia="仿宋" w:cs="仿宋"/>
          <w:sz w:val="32"/>
          <w:szCs w:val="32"/>
        </w:rPr>
        <w:t>万元，主要原因是工资普调后人员和公用经费预算增增加；</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_GB2312" w:hAnsi="仿宋_GB2312" w:eastAsia="仿宋_GB2312" w:cs="仿宋_GB2312"/>
          <w:sz w:val="32"/>
          <w:szCs w:val="32"/>
        </w:rPr>
        <w:t>本单位当年</w:t>
      </w:r>
      <w:r>
        <w:rPr>
          <w:rFonts w:hint="eastAsia" w:ascii="仿宋" w:hAnsi="仿宋" w:eastAsia="仿宋" w:cs="仿宋"/>
          <w:sz w:val="32"/>
          <w:szCs w:val="32"/>
        </w:rPr>
        <w:t>财政拨款支出</w:t>
      </w:r>
      <w:r>
        <w:rPr>
          <w:rFonts w:ascii="仿宋" w:hAnsi="仿宋" w:eastAsia="仿宋" w:cs="仿宋"/>
          <w:sz w:val="32"/>
          <w:szCs w:val="32"/>
        </w:rPr>
        <w:t>1160.06</w:t>
      </w:r>
      <w:r>
        <w:rPr>
          <w:rFonts w:hint="eastAsia" w:ascii="仿宋" w:hAnsi="仿宋" w:eastAsia="仿宋" w:cs="仿宋"/>
          <w:sz w:val="32"/>
          <w:szCs w:val="32"/>
        </w:rPr>
        <w:t>万元，其中一般公共预算拨款支出</w:t>
      </w:r>
      <w:r>
        <w:rPr>
          <w:rFonts w:ascii="仿宋" w:hAnsi="仿宋" w:eastAsia="仿宋" w:cs="仿宋"/>
          <w:sz w:val="32"/>
          <w:szCs w:val="32"/>
        </w:rPr>
        <w:t>1160.06</w:t>
      </w:r>
      <w:r>
        <w:rPr>
          <w:rFonts w:hint="eastAsia" w:ascii="仿宋" w:hAnsi="仿宋" w:eastAsia="仿宋" w:cs="仿宋"/>
          <w:sz w:val="32"/>
          <w:szCs w:val="32"/>
        </w:rPr>
        <w:t>万元、政府性基金拨款支出</w:t>
      </w:r>
      <w:r>
        <w:rPr>
          <w:rFonts w:ascii="仿宋" w:hAnsi="仿宋" w:eastAsia="仿宋" w:cs="仿宋"/>
          <w:sz w:val="32"/>
          <w:szCs w:val="32"/>
        </w:rPr>
        <w:t>0.00</w:t>
      </w:r>
      <w:r>
        <w:rPr>
          <w:rFonts w:hint="eastAsia" w:ascii="仿宋" w:hAnsi="仿宋" w:eastAsia="仿宋" w:cs="仿宋"/>
          <w:sz w:val="32"/>
          <w:szCs w:val="32"/>
        </w:rPr>
        <w:t>万元、上年结转</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363.17</w:t>
      </w:r>
      <w:r>
        <w:rPr>
          <w:rFonts w:hint="eastAsia" w:ascii="仿宋" w:hAnsi="仿宋" w:eastAsia="仿宋" w:cs="仿宋"/>
          <w:sz w:val="32"/>
          <w:szCs w:val="32"/>
        </w:rPr>
        <w:t>万元，主要原因是工资普调后人员和公用经费预算增增加；</w:t>
      </w:r>
    </w:p>
    <w:p>
      <w:pPr>
        <w:keepNext w:val="0"/>
        <w:keepLines w:val="0"/>
        <w:pageBreakBefore w:val="0"/>
        <w:widowControl w:val="0"/>
        <w:numPr>
          <w:ilvl w:val="0"/>
          <w:numId w:val="3"/>
        </w:numPr>
        <w:kinsoku/>
        <w:wordWrap/>
        <w:overflowPunct/>
        <w:topLinePunct w:val="0"/>
        <w:autoSpaceDE/>
        <w:autoSpaceDN/>
        <w:bidi w:val="0"/>
        <w:adjustRightInd/>
        <w:snapToGrid/>
        <w:spacing w:line="540" w:lineRule="exact"/>
        <w:ind w:firstLine="31680"/>
        <w:textAlignment w:val="auto"/>
        <w:rPr>
          <w:rFonts w:ascii="仿宋" w:hAnsi="仿宋" w:eastAsia="仿宋" w:cs="仿宋"/>
          <w:b/>
          <w:bCs/>
          <w:sz w:val="32"/>
          <w:szCs w:val="32"/>
        </w:rPr>
      </w:pPr>
      <w:r>
        <w:rPr>
          <w:rFonts w:hint="eastAsia" w:ascii="仿宋" w:hAnsi="仿宋" w:eastAsia="仿宋" w:cs="仿宋"/>
          <w:b/>
          <w:bCs/>
          <w:sz w:val="32"/>
          <w:szCs w:val="32"/>
        </w:rPr>
        <w:t>一般公共预算拨款支出明细情况</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ascii="仿宋" w:hAnsi="仿宋" w:eastAsia="仿宋" w:cs="仿宋"/>
          <w:sz w:val="32"/>
          <w:szCs w:val="32"/>
        </w:rPr>
        <w:t>1</w:t>
      </w:r>
      <w:r>
        <w:rPr>
          <w:rFonts w:hint="eastAsia" w:ascii="仿宋" w:hAnsi="仿宋" w:eastAsia="仿宋" w:cs="仿宋"/>
          <w:sz w:val="32"/>
          <w:szCs w:val="32"/>
        </w:rPr>
        <w:t>、一般公共预算当年拨款规模变化情况</w:t>
      </w:r>
      <w:r>
        <w:rPr>
          <w:rFonts w:ascii="仿宋" w:hAnsi="仿宋" w:eastAsia="仿宋" w:cs="仿宋"/>
          <w:sz w:val="32"/>
          <w:szCs w:val="32"/>
        </w:rPr>
        <w:br w:type="textWrapping"/>
      </w:r>
      <w:r>
        <w:rPr>
          <w:rFonts w:ascii="仿宋" w:hAnsi="仿宋" w:eastAsia="仿宋" w:cs="仿宋"/>
          <w:sz w:val="32"/>
          <w:szCs w:val="32"/>
        </w:rPr>
        <w:tab/>
      </w:r>
      <w:r>
        <w:rPr>
          <w:rFonts w:ascii="仿宋" w:hAnsi="仿宋" w:eastAsia="仿宋" w:cs="仿宋"/>
          <w:sz w:val="32"/>
          <w:szCs w:val="32"/>
        </w:rPr>
        <w:t xml:space="preserve">  </w:t>
      </w:r>
      <w:r>
        <w:rPr>
          <w:rFonts w:hint="eastAsia" w:ascii="仿宋" w:hAnsi="仿宋" w:eastAsia="仿宋" w:cs="仿宋"/>
          <w:sz w:val="32"/>
          <w:szCs w:val="32"/>
        </w:rPr>
        <w:t>本单位当年一般公共预算拨款支出</w:t>
      </w:r>
      <w:r>
        <w:rPr>
          <w:rFonts w:ascii="仿宋" w:hAnsi="仿宋" w:eastAsia="仿宋" w:cs="仿宋"/>
          <w:sz w:val="32"/>
          <w:szCs w:val="32"/>
        </w:rPr>
        <w:t>1160.06</w:t>
      </w:r>
      <w:r>
        <w:rPr>
          <w:rFonts w:hint="eastAsia" w:ascii="仿宋" w:hAnsi="仿宋" w:eastAsia="仿宋" w:cs="仿宋"/>
          <w:sz w:val="32"/>
          <w:szCs w:val="32"/>
        </w:rPr>
        <w:t>万元，较上年增加</w:t>
      </w:r>
      <w:r>
        <w:rPr>
          <w:rFonts w:ascii="仿宋" w:hAnsi="仿宋" w:eastAsia="仿宋" w:cs="仿宋"/>
          <w:sz w:val="32"/>
          <w:szCs w:val="32"/>
        </w:rPr>
        <w:t>363.17</w:t>
      </w:r>
      <w:r>
        <w:rPr>
          <w:rFonts w:hint="eastAsia" w:ascii="仿宋" w:hAnsi="仿宋" w:eastAsia="仿宋" w:cs="仿宋"/>
          <w:sz w:val="32"/>
          <w:szCs w:val="32"/>
        </w:rPr>
        <w:t>万元，主要原因是工资普调后人员和公用经费预算增增加；</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pict>
          <v:shape id="_x0000_s1026" o:spid="_x0000_s1026" o:spt="75" alt="" type="#_x0000_t75" style="position:absolute;left:0pt;margin-left:30.7pt;margin-top:11.4pt;height:222.75pt;width:341.1pt;z-index:251658240;mso-width-relative:page;mso-height-relative:page;" filled="f" o:preferrelative="t" stroked="f" coordsize="21600,21600">
            <v:path/>
            <v:fill on="f" focussize="0,0"/>
            <v:stroke on="f"/>
            <v:imagedata r:id="rId6" o:title=""/>
            <o:lock v:ext="edit" aspectratio="t"/>
          </v:shape>
        </w:pict>
      </w:r>
      <w:r>
        <w:rPr>
          <w:rFonts w:ascii="仿宋" w:hAnsi="仿宋" w:eastAsia="仿宋" w:cs="仿宋"/>
          <w:sz w:val="32"/>
          <w:szCs w:val="32"/>
        </w:rPr>
        <w:br w:type="textWrapping"/>
      </w:r>
      <w:r>
        <w:rPr>
          <w:rFonts w:ascii="仿宋" w:hAnsi="仿宋" w:eastAsia="仿宋" w:cs="仿宋"/>
          <w:sz w:val="32"/>
          <w:szCs w:val="32"/>
        </w:rPr>
        <w:tab/>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ascii="仿宋" w:hAnsi="仿宋" w:eastAsia="仿宋" w:cs="仿宋"/>
          <w:sz w:val="32"/>
          <w:szCs w:val="32"/>
        </w:rPr>
        <w:t>2</w:t>
      </w:r>
      <w:r>
        <w:rPr>
          <w:rFonts w:hint="eastAsia" w:ascii="仿宋" w:hAnsi="仿宋" w:eastAsia="仿宋" w:cs="仿宋"/>
          <w:sz w:val="32"/>
          <w:szCs w:val="32"/>
        </w:rPr>
        <w:t>、支出按功能科目分类的明细情况。</w:t>
      </w:r>
      <w:r>
        <w:rPr>
          <w:rFonts w:ascii="仿宋" w:hAnsi="仿宋" w:eastAsia="仿宋" w:cs="仿宋"/>
          <w:sz w:val="32"/>
          <w:szCs w:val="32"/>
        </w:rPr>
        <w:br w:type="textWrapping"/>
      </w:r>
      <w:r>
        <w:rPr>
          <w:rFonts w:ascii="仿宋" w:hAnsi="仿宋" w:eastAsia="仿宋" w:cs="仿宋"/>
          <w:sz w:val="32"/>
          <w:szCs w:val="32"/>
        </w:rPr>
        <w:tab/>
      </w:r>
      <w:r>
        <w:rPr>
          <w:rFonts w:ascii="仿宋" w:hAnsi="仿宋" w:eastAsia="仿宋" w:cs="仿宋"/>
          <w:sz w:val="32"/>
          <w:szCs w:val="32"/>
        </w:rPr>
        <w:t xml:space="preserve"> </w:t>
      </w:r>
      <w:r>
        <w:rPr>
          <w:rFonts w:hint="eastAsia" w:ascii="仿宋" w:hAnsi="仿宋" w:eastAsia="仿宋" w:cs="仿宋"/>
          <w:sz w:val="32"/>
          <w:szCs w:val="32"/>
        </w:rPr>
        <w:t>本单位当年一般公共预算支出</w:t>
      </w:r>
      <w:r>
        <w:rPr>
          <w:rFonts w:ascii="仿宋" w:hAnsi="仿宋" w:eastAsia="仿宋" w:cs="仿宋"/>
          <w:sz w:val="32"/>
          <w:szCs w:val="32"/>
        </w:rPr>
        <w:t>1160.06</w:t>
      </w:r>
      <w:r>
        <w:rPr>
          <w:rFonts w:hint="eastAsia" w:ascii="仿宋" w:hAnsi="仿宋" w:eastAsia="仿宋" w:cs="仿宋"/>
          <w:sz w:val="32"/>
          <w:szCs w:val="32"/>
        </w:rPr>
        <w:t>万元，其中：</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480" w:firstLineChars="0"/>
        <w:textAlignment w:val="auto"/>
        <w:rPr>
          <w:rFonts w:ascii="仿宋" w:hAnsi="仿宋" w:eastAsia="仿宋" w:cs="仿宋"/>
          <w:sz w:val="32"/>
          <w:szCs w:val="32"/>
        </w:rPr>
      </w:pPr>
      <w:r>
        <w:rPr>
          <w:rFonts w:hint="eastAsia" w:ascii="仿宋" w:hAnsi="仿宋" w:eastAsia="仿宋" w:cs="仿宋"/>
          <w:sz w:val="32"/>
          <w:szCs w:val="32"/>
        </w:rPr>
        <w:t>行政运行（</w:t>
      </w:r>
      <w:r>
        <w:rPr>
          <w:rFonts w:ascii="仿宋" w:hAnsi="仿宋" w:eastAsia="仿宋" w:cs="仿宋"/>
          <w:sz w:val="32"/>
          <w:szCs w:val="32"/>
        </w:rPr>
        <w:t>2080101</w:t>
      </w:r>
      <w:r>
        <w:rPr>
          <w:rFonts w:hint="eastAsia" w:ascii="仿宋" w:hAnsi="仿宋" w:eastAsia="仿宋" w:cs="仿宋"/>
          <w:sz w:val="32"/>
          <w:szCs w:val="32"/>
        </w:rPr>
        <w:t>）</w:t>
      </w:r>
      <w:r>
        <w:rPr>
          <w:rFonts w:ascii="仿宋" w:hAnsi="仿宋" w:eastAsia="仿宋" w:cs="仿宋"/>
          <w:sz w:val="32"/>
          <w:szCs w:val="32"/>
        </w:rPr>
        <w:t>857.67</w:t>
      </w:r>
      <w:r>
        <w:rPr>
          <w:rFonts w:hint="eastAsia" w:ascii="仿宋" w:hAnsi="仿宋" w:eastAsia="仿宋" w:cs="仿宋"/>
          <w:sz w:val="32"/>
          <w:szCs w:val="32"/>
        </w:rPr>
        <w:t>万元，含人员经费支出</w:t>
      </w:r>
      <w:r>
        <w:rPr>
          <w:rFonts w:ascii="仿宋" w:hAnsi="仿宋" w:eastAsia="仿宋" w:cs="仿宋"/>
          <w:sz w:val="32"/>
          <w:szCs w:val="32"/>
        </w:rPr>
        <w:t>794.46</w:t>
      </w:r>
      <w:r>
        <w:rPr>
          <w:rFonts w:hint="eastAsia" w:ascii="仿宋" w:hAnsi="仿宋" w:eastAsia="仿宋" w:cs="仿宋"/>
          <w:sz w:val="32"/>
          <w:szCs w:val="32"/>
        </w:rPr>
        <w:t>万元，公用经费支出</w:t>
      </w:r>
      <w:r>
        <w:rPr>
          <w:rFonts w:ascii="仿宋" w:hAnsi="仿宋" w:eastAsia="仿宋" w:cs="仿宋"/>
          <w:sz w:val="32"/>
          <w:szCs w:val="32"/>
        </w:rPr>
        <w:t>63.21</w:t>
      </w:r>
      <w:r>
        <w:rPr>
          <w:rFonts w:hint="eastAsia" w:ascii="仿宋" w:hAnsi="仿宋" w:eastAsia="仿宋" w:cs="仿宋"/>
          <w:sz w:val="32"/>
          <w:szCs w:val="32"/>
        </w:rPr>
        <w:t>万元，专项业务经费</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274.79 </w:t>
      </w:r>
      <w:r>
        <w:rPr>
          <w:rFonts w:hint="eastAsia" w:ascii="仿宋" w:hAnsi="仿宋" w:eastAsia="仿宋" w:cs="仿宋"/>
          <w:sz w:val="32"/>
          <w:szCs w:val="32"/>
        </w:rPr>
        <w:t>万元，原因是原因是工资普调增加奖励性绩效增加。</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480" w:firstLineChars="0"/>
        <w:textAlignment w:val="auto"/>
        <w:rPr>
          <w:rFonts w:ascii="仿宋" w:hAnsi="仿宋" w:eastAsia="仿宋" w:cs="仿宋"/>
          <w:sz w:val="32"/>
          <w:szCs w:val="32"/>
        </w:rPr>
      </w:pPr>
      <w:r>
        <w:rPr>
          <w:rFonts w:hint="eastAsia" w:ascii="仿宋" w:hAnsi="仿宋" w:eastAsia="仿宋" w:cs="仿宋"/>
          <w:sz w:val="32"/>
          <w:szCs w:val="32"/>
        </w:rPr>
        <w:t>行政单位离退休（</w:t>
      </w:r>
      <w:r>
        <w:rPr>
          <w:rFonts w:ascii="仿宋" w:hAnsi="仿宋" w:eastAsia="仿宋" w:cs="仿宋"/>
          <w:sz w:val="32"/>
          <w:szCs w:val="32"/>
        </w:rPr>
        <w:t>2080501</w:t>
      </w:r>
      <w:r>
        <w:rPr>
          <w:rFonts w:hint="eastAsia" w:ascii="仿宋" w:hAnsi="仿宋" w:eastAsia="仿宋" w:cs="仿宋"/>
          <w:sz w:val="32"/>
          <w:szCs w:val="32"/>
        </w:rPr>
        <w:t>）</w:t>
      </w:r>
      <w:r>
        <w:rPr>
          <w:rFonts w:ascii="仿宋" w:hAnsi="仿宋" w:eastAsia="仿宋" w:cs="仿宋"/>
          <w:sz w:val="32"/>
          <w:szCs w:val="32"/>
        </w:rPr>
        <w:t>0.90</w:t>
      </w:r>
      <w:r>
        <w:rPr>
          <w:rFonts w:hint="eastAsia" w:ascii="仿宋" w:hAnsi="仿宋" w:eastAsia="仿宋" w:cs="仿宋"/>
          <w:sz w:val="32"/>
          <w:szCs w:val="32"/>
        </w:rPr>
        <w:t>万元，含人员经费支出</w:t>
      </w:r>
      <w:r>
        <w:rPr>
          <w:rFonts w:ascii="仿宋" w:hAnsi="仿宋" w:eastAsia="仿宋" w:cs="仿宋"/>
          <w:sz w:val="32"/>
          <w:szCs w:val="32"/>
        </w:rPr>
        <w:t>0.00</w:t>
      </w:r>
      <w:r>
        <w:rPr>
          <w:rFonts w:hint="eastAsia" w:ascii="仿宋" w:hAnsi="仿宋" w:eastAsia="仿宋" w:cs="仿宋"/>
          <w:sz w:val="32"/>
          <w:szCs w:val="32"/>
        </w:rPr>
        <w:t>万元，公用经费支出</w:t>
      </w:r>
      <w:r>
        <w:rPr>
          <w:rFonts w:ascii="仿宋" w:hAnsi="仿宋" w:eastAsia="仿宋" w:cs="仿宋"/>
          <w:sz w:val="32"/>
          <w:szCs w:val="32"/>
        </w:rPr>
        <w:t>0.90</w:t>
      </w:r>
      <w:r>
        <w:rPr>
          <w:rFonts w:hint="eastAsia" w:ascii="仿宋" w:hAnsi="仿宋" w:eastAsia="仿宋" w:cs="仿宋"/>
          <w:sz w:val="32"/>
          <w:szCs w:val="32"/>
        </w:rPr>
        <w:t>万元，专项业务经费</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0.00 </w:t>
      </w:r>
      <w:r>
        <w:rPr>
          <w:rFonts w:hint="eastAsia" w:ascii="仿宋" w:hAnsi="仿宋" w:eastAsia="仿宋" w:cs="仿宋"/>
          <w:sz w:val="32"/>
          <w:szCs w:val="32"/>
        </w:rPr>
        <w:t>万元，原因是无此项支出。</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480" w:firstLineChars="0"/>
        <w:textAlignment w:val="auto"/>
        <w:rPr>
          <w:rFonts w:ascii="仿宋" w:hAnsi="仿宋" w:eastAsia="仿宋" w:cs="仿宋"/>
          <w:sz w:val="32"/>
          <w:szCs w:val="32"/>
        </w:rPr>
      </w:pPr>
      <w:r>
        <w:rPr>
          <w:rFonts w:hint="eastAsia" w:ascii="仿宋" w:hAnsi="仿宋" w:eastAsia="仿宋" w:cs="仿宋"/>
          <w:sz w:val="32"/>
          <w:szCs w:val="32"/>
        </w:rPr>
        <w:t>机关事业单位基本养老保险缴费支出（</w:t>
      </w:r>
      <w:r>
        <w:rPr>
          <w:rFonts w:ascii="仿宋" w:hAnsi="仿宋" w:eastAsia="仿宋" w:cs="仿宋"/>
          <w:sz w:val="32"/>
          <w:szCs w:val="32"/>
        </w:rPr>
        <w:t>2080505</w:t>
      </w:r>
      <w:r>
        <w:rPr>
          <w:rFonts w:hint="eastAsia" w:ascii="仿宋" w:hAnsi="仿宋" w:eastAsia="仿宋" w:cs="仿宋"/>
          <w:sz w:val="32"/>
          <w:szCs w:val="32"/>
        </w:rPr>
        <w:t>）</w:t>
      </w:r>
      <w:r>
        <w:rPr>
          <w:rFonts w:ascii="仿宋" w:hAnsi="仿宋" w:eastAsia="仿宋" w:cs="仿宋"/>
          <w:sz w:val="32"/>
          <w:szCs w:val="32"/>
        </w:rPr>
        <w:t>107.93</w:t>
      </w:r>
      <w:r>
        <w:rPr>
          <w:rFonts w:hint="eastAsia" w:ascii="仿宋" w:hAnsi="仿宋" w:eastAsia="仿宋" w:cs="仿宋"/>
          <w:sz w:val="32"/>
          <w:szCs w:val="32"/>
        </w:rPr>
        <w:t>万元，含人员经费支出</w:t>
      </w:r>
      <w:r>
        <w:rPr>
          <w:rFonts w:ascii="仿宋" w:hAnsi="仿宋" w:eastAsia="仿宋" w:cs="仿宋"/>
          <w:sz w:val="32"/>
          <w:szCs w:val="32"/>
        </w:rPr>
        <w:t>107.93</w:t>
      </w:r>
      <w:r>
        <w:rPr>
          <w:rFonts w:hint="eastAsia" w:ascii="仿宋" w:hAnsi="仿宋" w:eastAsia="仿宋" w:cs="仿宋"/>
          <w:sz w:val="32"/>
          <w:szCs w:val="32"/>
        </w:rPr>
        <w:t>万元，公用经费支出</w:t>
      </w:r>
      <w:r>
        <w:rPr>
          <w:rFonts w:ascii="仿宋" w:hAnsi="仿宋" w:eastAsia="仿宋" w:cs="仿宋"/>
          <w:sz w:val="32"/>
          <w:szCs w:val="32"/>
        </w:rPr>
        <w:t>0.00</w:t>
      </w:r>
      <w:r>
        <w:rPr>
          <w:rFonts w:hint="eastAsia" w:ascii="仿宋" w:hAnsi="仿宋" w:eastAsia="仿宋" w:cs="仿宋"/>
          <w:sz w:val="32"/>
          <w:szCs w:val="32"/>
        </w:rPr>
        <w:t>万元，专项业务经费</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33.24 </w:t>
      </w:r>
      <w:r>
        <w:rPr>
          <w:rFonts w:hint="eastAsia" w:ascii="仿宋" w:hAnsi="仿宋" w:eastAsia="仿宋" w:cs="仿宋"/>
          <w:sz w:val="32"/>
          <w:szCs w:val="32"/>
        </w:rPr>
        <w:t>万元，原因是工资普调，养老保险缴费基数增加。</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480" w:firstLineChars="0"/>
        <w:textAlignment w:val="auto"/>
        <w:rPr>
          <w:rFonts w:ascii="仿宋" w:hAnsi="仿宋" w:eastAsia="仿宋" w:cs="仿宋"/>
          <w:sz w:val="32"/>
          <w:szCs w:val="32"/>
        </w:rPr>
      </w:pPr>
      <w:r>
        <w:rPr>
          <w:rFonts w:hint="eastAsia" w:ascii="仿宋" w:hAnsi="仿宋" w:eastAsia="仿宋" w:cs="仿宋"/>
          <w:sz w:val="32"/>
          <w:szCs w:val="32"/>
        </w:rPr>
        <w:t>机关事业单位职业年金缴费支出（</w:t>
      </w:r>
      <w:r>
        <w:rPr>
          <w:rFonts w:ascii="仿宋" w:hAnsi="仿宋" w:eastAsia="仿宋" w:cs="仿宋"/>
          <w:sz w:val="32"/>
          <w:szCs w:val="32"/>
        </w:rPr>
        <w:t>2080506</w:t>
      </w:r>
      <w:r>
        <w:rPr>
          <w:rFonts w:hint="eastAsia" w:ascii="仿宋" w:hAnsi="仿宋" w:eastAsia="仿宋" w:cs="仿宋"/>
          <w:sz w:val="32"/>
          <w:szCs w:val="32"/>
        </w:rPr>
        <w:t>）</w:t>
      </w:r>
      <w:r>
        <w:rPr>
          <w:rFonts w:ascii="仿宋" w:hAnsi="仿宋" w:eastAsia="仿宋" w:cs="仿宋"/>
          <w:sz w:val="32"/>
          <w:szCs w:val="32"/>
        </w:rPr>
        <w:t>53.96</w:t>
      </w:r>
      <w:r>
        <w:rPr>
          <w:rFonts w:hint="eastAsia" w:ascii="仿宋" w:hAnsi="仿宋" w:eastAsia="仿宋" w:cs="仿宋"/>
          <w:sz w:val="32"/>
          <w:szCs w:val="32"/>
        </w:rPr>
        <w:t>万元，含人员经费支出</w:t>
      </w:r>
      <w:r>
        <w:rPr>
          <w:rFonts w:ascii="仿宋" w:hAnsi="仿宋" w:eastAsia="仿宋" w:cs="仿宋"/>
          <w:sz w:val="32"/>
          <w:szCs w:val="32"/>
        </w:rPr>
        <w:t>53.96</w:t>
      </w:r>
      <w:r>
        <w:rPr>
          <w:rFonts w:hint="eastAsia" w:ascii="仿宋" w:hAnsi="仿宋" w:eastAsia="仿宋" w:cs="仿宋"/>
          <w:sz w:val="32"/>
          <w:szCs w:val="32"/>
        </w:rPr>
        <w:t>万元，公用经费支出</w:t>
      </w:r>
      <w:r>
        <w:rPr>
          <w:rFonts w:ascii="仿宋" w:hAnsi="仿宋" w:eastAsia="仿宋" w:cs="仿宋"/>
          <w:sz w:val="32"/>
          <w:szCs w:val="32"/>
        </w:rPr>
        <w:t>0.00</w:t>
      </w:r>
      <w:r>
        <w:rPr>
          <w:rFonts w:hint="eastAsia" w:ascii="仿宋" w:hAnsi="仿宋" w:eastAsia="仿宋" w:cs="仿宋"/>
          <w:sz w:val="32"/>
          <w:szCs w:val="32"/>
        </w:rPr>
        <w:t>万元，专项业务经费</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16.62 </w:t>
      </w:r>
      <w:r>
        <w:rPr>
          <w:rFonts w:hint="eastAsia" w:ascii="仿宋" w:hAnsi="仿宋" w:eastAsia="仿宋" w:cs="仿宋"/>
          <w:sz w:val="32"/>
          <w:szCs w:val="32"/>
        </w:rPr>
        <w:t>万元，原因是工资普调，职业年金缴费基数增加。</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480" w:firstLineChars="0"/>
        <w:textAlignment w:val="auto"/>
        <w:rPr>
          <w:rFonts w:ascii="仿宋" w:hAnsi="仿宋" w:eastAsia="仿宋" w:cs="仿宋"/>
          <w:sz w:val="32"/>
          <w:szCs w:val="32"/>
        </w:rPr>
      </w:pPr>
      <w:r>
        <w:rPr>
          <w:rFonts w:hint="eastAsia" w:ascii="仿宋" w:hAnsi="仿宋" w:eastAsia="仿宋" w:cs="仿宋"/>
          <w:sz w:val="32"/>
          <w:szCs w:val="32"/>
        </w:rPr>
        <w:t>行政单位医疗（</w:t>
      </w:r>
      <w:r>
        <w:rPr>
          <w:rFonts w:ascii="仿宋" w:hAnsi="仿宋" w:eastAsia="仿宋" w:cs="仿宋"/>
          <w:sz w:val="32"/>
          <w:szCs w:val="32"/>
        </w:rPr>
        <w:t>2101101</w:t>
      </w:r>
      <w:r>
        <w:rPr>
          <w:rFonts w:hint="eastAsia" w:ascii="仿宋" w:hAnsi="仿宋" w:eastAsia="仿宋" w:cs="仿宋"/>
          <w:sz w:val="32"/>
          <w:szCs w:val="32"/>
        </w:rPr>
        <w:t>）</w:t>
      </w:r>
      <w:r>
        <w:rPr>
          <w:rFonts w:ascii="仿宋" w:hAnsi="仿宋" w:eastAsia="仿宋" w:cs="仿宋"/>
          <w:sz w:val="32"/>
          <w:szCs w:val="32"/>
        </w:rPr>
        <w:t>52.70</w:t>
      </w:r>
      <w:r>
        <w:rPr>
          <w:rFonts w:hint="eastAsia" w:ascii="仿宋" w:hAnsi="仿宋" w:eastAsia="仿宋" w:cs="仿宋"/>
          <w:sz w:val="32"/>
          <w:szCs w:val="32"/>
        </w:rPr>
        <w:t>万元，含人员经费支出</w:t>
      </w:r>
      <w:r>
        <w:rPr>
          <w:rFonts w:ascii="仿宋" w:hAnsi="仿宋" w:eastAsia="仿宋" w:cs="仿宋"/>
          <w:sz w:val="32"/>
          <w:szCs w:val="32"/>
        </w:rPr>
        <w:t>52.70</w:t>
      </w:r>
      <w:r>
        <w:rPr>
          <w:rFonts w:hint="eastAsia" w:ascii="仿宋" w:hAnsi="仿宋" w:eastAsia="仿宋" w:cs="仿宋"/>
          <w:sz w:val="32"/>
          <w:szCs w:val="32"/>
        </w:rPr>
        <w:t>万元，公用经费支出</w:t>
      </w:r>
      <w:r>
        <w:rPr>
          <w:rFonts w:ascii="仿宋" w:hAnsi="仿宋" w:eastAsia="仿宋" w:cs="仿宋"/>
          <w:sz w:val="32"/>
          <w:szCs w:val="32"/>
        </w:rPr>
        <w:t>0.00</w:t>
      </w:r>
      <w:r>
        <w:rPr>
          <w:rFonts w:hint="eastAsia" w:ascii="仿宋" w:hAnsi="仿宋" w:eastAsia="仿宋" w:cs="仿宋"/>
          <w:sz w:val="32"/>
          <w:szCs w:val="32"/>
        </w:rPr>
        <w:t>万元，专项业务经费</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7.64 </w:t>
      </w:r>
      <w:r>
        <w:rPr>
          <w:rFonts w:hint="eastAsia" w:ascii="仿宋" w:hAnsi="仿宋" w:eastAsia="仿宋" w:cs="仿宋"/>
          <w:sz w:val="32"/>
          <w:szCs w:val="32"/>
        </w:rPr>
        <w:t>万元，原因是工资普调，医疗保险缴费基数增加。</w:t>
      </w:r>
    </w:p>
    <w:p>
      <w:pPr>
        <w:keepNext w:val="0"/>
        <w:keepLines w:val="0"/>
        <w:pageBreakBefore w:val="0"/>
        <w:widowControl w:val="0"/>
        <w:numPr>
          <w:ilvl w:val="0"/>
          <w:numId w:val="4"/>
        </w:numPr>
        <w:kinsoku/>
        <w:wordWrap/>
        <w:overflowPunct/>
        <w:topLinePunct w:val="0"/>
        <w:autoSpaceDE/>
        <w:autoSpaceDN/>
        <w:bidi w:val="0"/>
        <w:adjustRightInd/>
        <w:snapToGrid/>
        <w:spacing w:line="520" w:lineRule="exact"/>
        <w:ind w:firstLine="480" w:firstLineChars="0"/>
        <w:textAlignment w:val="auto"/>
        <w:rPr>
          <w:rFonts w:ascii="仿宋" w:hAnsi="仿宋" w:eastAsia="仿宋" w:cs="仿宋"/>
          <w:sz w:val="32"/>
          <w:szCs w:val="32"/>
        </w:rPr>
      </w:pPr>
      <w:r>
        <w:rPr>
          <w:rFonts w:hint="eastAsia" w:ascii="仿宋" w:hAnsi="仿宋" w:eastAsia="仿宋" w:cs="仿宋"/>
          <w:sz w:val="32"/>
          <w:szCs w:val="32"/>
        </w:rPr>
        <w:t>住房公积金（</w:t>
      </w:r>
      <w:r>
        <w:rPr>
          <w:rFonts w:ascii="仿宋" w:hAnsi="仿宋" w:eastAsia="仿宋" w:cs="仿宋"/>
          <w:sz w:val="32"/>
          <w:szCs w:val="32"/>
        </w:rPr>
        <w:t>2210201</w:t>
      </w:r>
      <w:r>
        <w:rPr>
          <w:rFonts w:hint="eastAsia" w:ascii="仿宋" w:hAnsi="仿宋" w:eastAsia="仿宋" w:cs="仿宋"/>
          <w:sz w:val="32"/>
          <w:szCs w:val="32"/>
        </w:rPr>
        <w:t>）</w:t>
      </w:r>
      <w:r>
        <w:rPr>
          <w:rFonts w:ascii="仿宋" w:hAnsi="仿宋" w:eastAsia="仿宋" w:cs="仿宋"/>
          <w:sz w:val="32"/>
          <w:szCs w:val="32"/>
        </w:rPr>
        <w:t>86.90</w:t>
      </w:r>
      <w:r>
        <w:rPr>
          <w:rFonts w:hint="eastAsia" w:ascii="仿宋" w:hAnsi="仿宋" w:eastAsia="仿宋" w:cs="仿宋"/>
          <w:sz w:val="32"/>
          <w:szCs w:val="32"/>
        </w:rPr>
        <w:t>万元，含人员经费支出</w:t>
      </w:r>
      <w:r>
        <w:rPr>
          <w:rFonts w:ascii="仿宋" w:hAnsi="仿宋" w:eastAsia="仿宋" w:cs="仿宋"/>
          <w:sz w:val="32"/>
          <w:szCs w:val="32"/>
        </w:rPr>
        <w:t>86.90</w:t>
      </w:r>
      <w:r>
        <w:rPr>
          <w:rFonts w:hint="eastAsia" w:ascii="仿宋" w:hAnsi="仿宋" w:eastAsia="仿宋" w:cs="仿宋"/>
          <w:sz w:val="32"/>
          <w:szCs w:val="32"/>
        </w:rPr>
        <w:t>万元，公用经费支出</w:t>
      </w:r>
      <w:r>
        <w:rPr>
          <w:rFonts w:ascii="仿宋" w:hAnsi="仿宋" w:eastAsia="仿宋" w:cs="仿宋"/>
          <w:sz w:val="32"/>
          <w:szCs w:val="32"/>
        </w:rPr>
        <w:t>0.00</w:t>
      </w:r>
      <w:r>
        <w:rPr>
          <w:rFonts w:hint="eastAsia" w:ascii="仿宋" w:hAnsi="仿宋" w:eastAsia="仿宋" w:cs="仿宋"/>
          <w:sz w:val="32"/>
          <w:szCs w:val="32"/>
        </w:rPr>
        <w:t>万元，专项业务经费</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30.89 </w:t>
      </w:r>
      <w:r>
        <w:rPr>
          <w:rFonts w:hint="eastAsia" w:ascii="仿宋" w:hAnsi="仿宋" w:eastAsia="仿宋" w:cs="仿宋"/>
          <w:sz w:val="32"/>
          <w:szCs w:val="32"/>
        </w:rPr>
        <w:t>万元，原因是工资普调，公积金缴费基数增加。</w:t>
      </w:r>
    </w:p>
    <w:p>
      <w:pPr>
        <w:keepNext w:val="0"/>
        <w:keepLines w:val="0"/>
        <w:pageBreakBefore w:val="0"/>
        <w:widowControl w:val="0"/>
        <w:kinsoku/>
        <w:wordWrap/>
        <w:overflowPunct/>
        <w:topLinePunct w:val="0"/>
        <w:autoSpaceDE/>
        <w:autoSpaceDN/>
        <w:bidi w:val="0"/>
        <w:adjustRightInd/>
        <w:snapToGrid/>
        <w:spacing w:line="520" w:lineRule="exact"/>
        <w:ind w:left="480" w:leftChars="200" w:firstLine="320" w:firstLineChars="100"/>
        <w:textAlignment w:val="auto"/>
        <w:rPr>
          <w:rFonts w:ascii="仿宋" w:hAnsi="仿宋" w:eastAsia="仿宋" w:cs="仿宋"/>
          <w:sz w:val="32"/>
          <w:szCs w:val="32"/>
        </w:rPr>
      </w:pPr>
      <w:r>
        <w:rPr>
          <w:rFonts w:ascii="仿宋" w:hAnsi="仿宋" w:eastAsia="仿宋" w:cs="仿宋"/>
          <w:sz w:val="32"/>
          <w:szCs w:val="32"/>
        </w:rPr>
        <w:t>3</w:t>
      </w:r>
      <w:r>
        <w:rPr>
          <w:rFonts w:hint="eastAsia" w:ascii="仿宋" w:hAnsi="仿宋" w:eastAsia="仿宋" w:cs="仿宋"/>
          <w:sz w:val="32"/>
          <w:szCs w:val="32"/>
        </w:rPr>
        <w:t>、支出按经济科目分类的明细情况</w:t>
      </w:r>
    </w:p>
    <w:p>
      <w:pPr>
        <w:keepNext w:val="0"/>
        <w:keepLines w:val="0"/>
        <w:pageBreakBefore w:val="0"/>
        <w:widowControl w:val="0"/>
        <w:kinsoku/>
        <w:wordWrap/>
        <w:overflowPunct/>
        <w:topLinePunct w:val="0"/>
        <w:autoSpaceDE/>
        <w:autoSpaceDN/>
        <w:bidi w:val="0"/>
        <w:adjustRightInd/>
        <w:snapToGrid/>
        <w:spacing w:line="520" w:lineRule="exact"/>
        <w:ind w:left="800" w:leftChars="200" w:hanging="320" w:hangingChars="100"/>
        <w:textAlignment w:val="auto"/>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）按照单位预算支出经济分类的类级科目说明</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本单位当年一般公共预算支出</w:t>
      </w:r>
      <w:r>
        <w:rPr>
          <w:rFonts w:ascii="仿宋" w:hAnsi="仿宋" w:eastAsia="仿宋" w:cs="仿宋"/>
          <w:sz w:val="32"/>
          <w:szCs w:val="32"/>
        </w:rPr>
        <w:t>1160.06</w:t>
      </w:r>
      <w:r>
        <w:rPr>
          <w:rFonts w:hint="eastAsia" w:ascii="仿宋" w:hAnsi="仿宋" w:eastAsia="仿宋" w:cs="仿宋"/>
          <w:sz w:val="32"/>
          <w:szCs w:val="32"/>
        </w:rPr>
        <w:t>万元，其中：</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工资福利支出（</w:t>
      </w:r>
      <w:r>
        <w:rPr>
          <w:rFonts w:ascii="仿宋" w:hAnsi="仿宋" w:eastAsia="仿宋" w:cs="仿宋"/>
          <w:sz w:val="32"/>
          <w:szCs w:val="32"/>
        </w:rPr>
        <w:t>301</w:t>
      </w:r>
      <w:r>
        <w:rPr>
          <w:rFonts w:hint="eastAsia" w:ascii="仿宋" w:hAnsi="仿宋" w:eastAsia="仿宋" w:cs="仿宋"/>
          <w:sz w:val="32"/>
          <w:szCs w:val="32"/>
        </w:rPr>
        <w:t>）</w:t>
      </w:r>
      <w:r>
        <w:rPr>
          <w:rFonts w:ascii="仿宋" w:hAnsi="仿宋" w:eastAsia="仿宋" w:cs="仿宋"/>
          <w:sz w:val="32"/>
          <w:szCs w:val="32"/>
        </w:rPr>
        <w:t>1048.69</w:t>
      </w:r>
      <w:r>
        <w:rPr>
          <w:rFonts w:hint="eastAsia" w:ascii="仿宋" w:hAnsi="仿宋" w:eastAsia="仿宋" w:cs="仿宋"/>
          <w:sz w:val="32"/>
          <w:szCs w:val="32"/>
        </w:rPr>
        <w:t>万元，均属人员经费支出，较上年增加</w:t>
      </w:r>
      <w:r>
        <w:rPr>
          <w:rFonts w:ascii="仿宋" w:hAnsi="仿宋" w:eastAsia="仿宋" w:cs="仿宋"/>
          <w:sz w:val="32"/>
          <w:szCs w:val="32"/>
        </w:rPr>
        <w:t xml:space="preserve">347.28 </w:t>
      </w:r>
      <w:r>
        <w:rPr>
          <w:rFonts w:hint="eastAsia" w:ascii="仿宋" w:hAnsi="仿宋" w:eastAsia="仿宋" w:cs="仿宋"/>
          <w:sz w:val="32"/>
          <w:szCs w:val="32"/>
        </w:rPr>
        <w:t>万元，原因是本年工资预算增加基础绩效奖、调资后社保、住房公积金等缴费增加；</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商品和服务支出（</w:t>
      </w:r>
      <w:r>
        <w:rPr>
          <w:rFonts w:ascii="仿宋" w:hAnsi="仿宋" w:eastAsia="仿宋" w:cs="仿宋"/>
          <w:sz w:val="32"/>
          <w:szCs w:val="32"/>
        </w:rPr>
        <w:t>302</w:t>
      </w:r>
      <w:r>
        <w:rPr>
          <w:rFonts w:hint="eastAsia" w:ascii="仿宋" w:hAnsi="仿宋" w:eastAsia="仿宋" w:cs="仿宋"/>
          <w:sz w:val="32"/>
          <w:szCs w:val="32"/>
        </w:rPr>
        <w:t>）</w:t>
      </w:r>
      <w:r>
        <w:rPr>
          <w:rFonts w:ascii="仿宋" w:hAnsi="仿宋" w:eastAsia="仿宋" w:cs="仿宋"/>
          <w:sz w:val="32"/>
          <w:szCs w:val="32"/>
        </w:rPr>
        <w:t>111.38</w:t>
      </w:r>
      <w:r>
        <w:rPr>
          <w:rFonts w:hint="eastAsia" w:ascii="仿宋" w:hAnsi="仿宋" w:eastAsia="仿宋" w:cs="仿宋"/>
          <w:sz w:val="32"/>
          <w:szCs w:val="32"/>
        </w:rPr>
        <w:t>万元，其中：公用经费支出</w:t>
      </w:r>
      <w:r>
        <w:rPr>
          <w:rFonts w:ascii="仿宋" w:hAnsi="仿宋" w:eastAsia="仿宋" w:cs="仿宋"/>
          <w:sz w:val="32"/>
          <w:szCs w:val="32"/>
        </w:rPr>
        <w:t>111.38</w:t>
      </w:r>
      <w:r>
        <w:rPr>
          <w:rFonts w:hint="eastAsia" w:ascii="仿宋" w:hAnsi="仿宋" w:eastAsia="仿宋" w:cs="仿宋"/>
          <w:sz w:val="32"/>
          <w:szCs w:val="32"/>
        </w:rPr>
        <w:t>万元、专项业务经费支出</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15.90</w:t>
      </w:r>
      <w:r>
        <w:rPr>
          <w:rFonts w:hint="eastAsia" w:ascii="仿宋" w:hAnsi="仿宋" w:eastAsia="仿宋" w:cs="仿宋"/>
          <w:sz w:val="32"/>
          <w:szCs w:val="32"/>
        </w:rPr>
        <w:t>万元，原因是人员经费中其他交通费用增加，办公费、公务接待费、培训费增加。</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对个人和家庭的补助支出（</w:t>
      </w:r>
      <w:r>
        <w:rPr>
          <w:rFonts w:ascii="仿宋" w:hAnsi="仿宋" w:eastAsia="仿宋" w:cs="仿宋"/>
          <w:sz w:val="32"/>
          <w:szCs w:val="32"/>
        </w:rPr>
        <w:t>303</w:t>
      </w:r>
      <w:r>
        <w:rPr>
          <w:rFonts w:hint="eastAsia" w:ascii="仿宋" w:hAnsi="仿宋" w:eastAsia="仿宋" w:cs="仿宋"/>
          <w:sz w:val="32"/>
          <w:szCs w:val="32"/>
        </w:rPr>
        <w:t>）</w:t>
      </w:r>
      <w:r>
        <w:rPr>
          <w:rFonts w:ascii="仿宋" w:hAnsi="仿宋" w:eastAsia="仿宋" w:cs="仿宋"/>
          <w:sz w:val="32"/>
          <w:szCs w:val="32"/>
        </w:rPr>
        <w:t xml:space="preserve">0.00 </w:t>
      </w:r>
      <w:r>
        <w:rPr>
          <w:rFonts w:hint="eastAsia" w:ascii="仿宋" w:hAnsi="仿宋" w:eastAsia="仿宋" w:cs="仿宋"/>
          <w:sz w:val="32"/>
          <w:szCs w:val="32"/>
        </w:rPr>
        <w:t>万元，含人员经费</w:t>
      </w:r>
      <w:r>
        <w:rPr>
          <w:rFonts w:ascii="仿宋" w:hAnsi="仿宋" w:eastAsia="仿宋" w:cs="仿宋"/>
          <w:sz w:val="32"/>
          <w:szCs w:val="32"/>
        </w:rPr>
        <w:t>0.00</w:t>
      </w:r>
      <w:r>
        <w:rPr>
          <w:rFonts w:hint="eastAsia" w:ascii="仿宋" w:hAnsi="仿宋" w:eastAsia="仿宋" w:cs="仿宋"/>
          <w:sz w:val="32"/>
          <w:szCs w:val="32"/>
        </w:rPr>
        <w:t>万元，专项业务经费</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0.00 </w:t>
      </w:r>
      <w:r>
        <w:rPr>
          <w:rFonts w:hint="eastAsia" w:ascii="仿宋" w:hAnsi="仿宋" w:eastAsia="仿宋" w:cs="仿宋"/>
          <w:sz w:val="32"/>
          <w:szCs w:val="32"/>
        </w:rPr>
        <w:t>万元，原因是无此项支出。</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资本性支出（</w:t>
      </w:r>
      <w:r>
        <w:rPr>
          <w:rFonts w:ascii="仿宋" w:hAnsi="仿宋" w:eastAsia="仿宋" w:cs="仿宋"/>
          <w:sz w:val="32"/>
          <w:szCs w:val="32"/>
        </w:rPr>
        <w:t>310</w:t>
      </w:r>
      <w:r>
        <w:rPr>
          <w:rFonts w:hint="eastAsia" w:ascii="仿宋" w:hAnsi="仿宋" w:eastAsia="仿宋" w:cs="仿宋"/>
          <w:sz w:val="32"/>
          <w:szCs w:val="32"/>
        </w:rPr>
        <w:t>）</w:t>
      </w:r>
      <w:r>
        <w:rPr>
          <w:rFonts w:ascii="仿宋" w:hAnsi="仿宋" w:eastAsia="仿宋" w:cs="仿宋"/>
          <w:sz w:val="32"/>
          <w:szCs w:val="32"/>
        </w:rPr>
        <w:t>0.00</w:t>
      </w:r>
      <w:r>
        <w:rPr>
          <w:rFonts w:hint="eastAsia" w:ascii="仿宋" w:hAnsi="仿宋" w:eastAsia="仿宋" w:cs="仿宋"/>
          <w:sz w:val="32"/>
          <w:szCs w:val="32"/>
        </w:rPr>
        <w:t>万元，均属专项业务经费，较上年增加</w:t>
      </w:r>
      <w:r>
        <w:rPr>
          <w:rFonts w:ascii="仿宋" w:hAnsi="仿宋" w:eastAsia="仿宋" w:cs="仿宋"/>
          <w:sz w:val="32"/>
          <w:szCs w:val="32"/>
        </w:rPr>
        <w:t>0.00</w:t>
      </w:r>
      <w:r>
        <w:rPr>
          <w:rFonts w:hint="eastAsia" w:ascii="仿宋" w:hAnsi="仿宋" w:eastAsia="仿宋" w:cs="仿宋"/>
          <w:sz w:val="32"/>
          <w:szCs w:val="32"/>
        </w:rPr>
        <w:t>万元，原因是无此项支出。</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）按照政府预算支出经济分类的类级科目说明</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本单位当年一般公共预算支出</w:t>
      </w:r>
      <w:r>
        <w:rPr>
          <w:rFonts w:ascii="仿宋" w:hAnsi="仿宋" w:eastAsia="仿宋" w:cs="仿宋"/>
          <w:sz w:val="32"/>
          <w:szCs w:val="32"/>
        </w:rPr>
        <w:t>1160.06</w:t>
      </w:r>
      <w:r>
        <w:rPr>
          <w:rFonts w:hint="eastAsia" w:ascii="仿宋" w:hAnsi="仿宋" w:eastAsia="仿宋" w:cs="仿宋"/>
          <w:sz w:val="32"/>
          <w:szCs w:val="32"/>
        </w:rPr>
        <w:t>万元，其中：</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机关工资福利支出（</w:t>
      </w:r>
      <w:r>
        <w:rPr>
          <w:rFonts w:ascii="仿宋" w:hAnsi="仿宋" w:eastAsia="仿宋" w:cs="仿宋"/>
          <w:sz w:val="32"/>
          <w:szCs w:val="32"/>
        </w:rPr>
        <w:t>501</w:t>
      </w:r>
      <w:r>
        <w:rPr>
          <w:rFonts w:hint="eastAsia" w:ascii="仿宋" w:hAnsi="仿宋" w:eastAsia="仿宋" w:cs="仿宋"/>
          <w:sz w:val="32"/>
          <w:szCs w:val="32"/>
        </w:rPr>
        <w:t>）</w:t>
      </w:r>
      <w:r>
        <w:rPr>
          <w:rFonts w:ascii="仿宋" w:hAnsi="仿宋" w:eastAsia="仿宋" w:cs="仿宋"/>
          <w:sz w:val="32"/>
          <w:szCs w:val="32"/>
        </w:rPr>
        <w:t>1048.69</w:t>
      </w:r>
      <w:r>
        <w:rPr>
          <w:rFonts w:hint="eastAsia" w:ascii="仿宋" w:hAnsi="仿宋" w:eastAsia="仿宋" w:cs="仿宋"/>
          <w:sz w:val="32"/>
          <w:szCs w:val="32"/>
        </w:rPr>
        <w:t>万元，较上年增加</w:t>
      </w:r>
      <w:r>
        <w:rPr>
          <w:rFonts w:ascii="仿宋" w:hAnsi="仿宋" w:eastAsia="仿宋" w:cs="仿宋"/>
          <w:sz w:val="32"/>
          <w:szCs w:val="32"/>
        </w:rPr>
        <w:t xml:space="preserve">347.28 </w:t>
      </w:r>
      <w:r>
        <w:rPr>
          <w:rFonts w:hint="eastAsia" w:ascii="仿宋" w:hAnsi="仿宋" w:eastAsia="仿宋" w:cs="仿宋"/>
          <w:sz w:val="32"/>
          <w:szCs w:val="32"/>
        </w:rPr>
        <w:t>万元，原因是工资普调，社保、公积金缴费基数增加；</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机关商品和服务支出（</w:t>
      </w:r>
      <w:r>
        <w:rPr>
          <w:rFonts w:ascii="仿宋" w:hAnsi="仿宋" w:eastAsia="仿宋" w:cs="仿宋"/>
          <w:sz w:val="32"/>
          <w:szCs w:val="32"/>
        </w:rPr>
        <w:t>502</w:t>
      </w:r>
      <w:r>
        <w:rPr>
          <w:rFonts w:hint="eastAsia" w:ascii="仿宋" w:hAnsi="仿宋" w:eastAsia="仿宋" w:cs="仿宋"/>
          <w:sz w:val="32"/>
          <w:szCs w:val="32"/>
        </w:rPr>
        <w:t>）</w:t>
      </w:r>
      <w:r>
        <w:rPr>
          <w:rFonts w:ascii="仿宋" w:hAnsi="仿宋" w:eastAsia="仿宋" w:cs="仿宋"/>
          <w:sz w:val="32"/>
          <w:szCs w:val="32"/>
        </w:rPr>
        <w:t>111.38</w:t>
      </w:r>
      <w:r>
        <w:rPr>
          <w:rFonts w:hint="eastAsia" w:ascii="仿宋" w:hAnsi="仿宋" w:eastAsia="仿宋" w:cs="仿宋"/>
          <w:sz w:val="32"/>
          <w:szCs w:val="32"/>
        </w:rPr>
        <w:t>万元，较上年增加</w:t>
      </w:r>
      <w:r>
        <w:rPr>
          <w:rFonts w:ascii="仿宋" w:hAnsi="仿宋" w:eastAsia="仿宋" w:cs="仿宋"/>
          <w:sz w:val="32"/>
          <w:szCs w:val="32"/>
        </w:rPr>
        <w:t xml:space="preserve">15.90 </w:t>
      </w:r>
      <w:r>
        <w:rPr>
          <w:rFonts w:hint="eastAsia" w:ascii="仿宋" w:hAnsi="仿宋" w:eastAsia="仿宋" w:cs="仿宋"/>
          <w:sz w:val="32"/>
          <w:szCs w:val="32"/>
        </w:rPr>
        <w:t>万元，原因是人员经费中其他交通费用增加，办公费、公务接待费、培训费增加。</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对事业单位经常性补助（</w:t>
      </w:r>
      <w:r>
        <w:rPr>
          <w:rFonts w:ascii="仿宋" w:hAnsi="仿宋" w:eastAsia="仿宋" w:cs="仿宋"/>
          <w:sz w:val="32"/>
          <w:szCs w:val="32"/>
        </w:rPr>
        <w:t>505</w:t>
      </w:r>
      <w:r>
        <w:rPr>
          <w:rFonts w:hint="eastAsia" w:ascii="仿宋" w:hAnsi="仿宋" w:eastAsia="仿宋" w:cs="仿宋"/>
          <w:sz w:val="32"/>
          <w:szCs w:val="32"/>
        </w:rPr>
        <w:t>）</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0.00 </w:t>
      </w:r>
      <w:r>
        <w:rPr>
          <w:rFonts w:hint="eastAsia" w:ascii="仿宋" w:hAnsi="仿宋" w:eastAsia="仿宋" w:cs="仿宋"/>
          <w:sz w:val="32"/>
          <w:szCs w:val="32"/>
        </w:rPr>
        <w:t>万元，原因是无此项；</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对个人和家庭的补助（</w:t>
      </w:r>
      <w:r>
        <w:rPr>
          <w:rFonts w:ascii="仿宋" w:hAnsi="仿宋" w:eastAsia="仿宋" w:cs="仿宋"/>
          <w:sz w:val="32"/>
          <w:szCs w:val="32"/>
        </w:rPr>
        <w:t>509</w:t>
      </w:r>
      <w:r>
        <w:rPr>
          <w:rFonts w:hint="eastAsia" w:ascii="仿宋" w:hAnsi="仿宋" w:eastAsia="仿宋" w:cs="仿宋"/>
          <w:sz w:val="32"/>
          <w:szCs w:val="32"/>
        </w:rPr>
        <w:t>）</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0.00 </w:t>
      </w:r>
      <w:r>
        <w:rPr>
          <w:rFonts w:hint="eastAsia" w:ascii="仿宋" w:hAnsi="仿宋" w:eastAsia="仿宋" w:cs="仿宋"/>
          <w:sz w:val="32"/>
          <w:szCs w:val="32"/>
        </w:rPr>
        <w:t>万元，原因是无此项支出。</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机关资本性支出（一）（</w:t>
      </w:r>
      <w:r>
        <w:rPr>
          <w:rFonts w:ascii="仿宋" w:hAnsi="仿宋" w:eastAsia="仿宋" w:cs="仿宋"/>
          <w:sz w:val="32"/>
          <w:szCs w:val="32"/>
        </w:rPr>
        <w:t>503</w:t>
      </w:r>
      <w:r>
        <w:rPr>
          <w:rFonts w:hint="eastAsia" w:ascii="仿宋" w:hAnsi="仿宋" w:eastAsia="仿宋" w:cs="仿宋"/>
          <w:sz w:val="32"/>
          <w:szCs w:val="32"/>
        </w:rPr>
        <w:t>）</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0.00 </w:t>
      </w:r>
      <w:r>
        <w:rPr>
          <w:rFonts w:hint="eastAsia" w:ascii="仿宋" w:hAnsi="仿宋" w:eastAsia="仿宋" w:cs="仿宋"/>
          <w:sz w:val="32"/>
          <w:szCs w:val="32"/>
        </w:rPr>
        <w:t>万元，原因是无此项支出。</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机关资本性支出（二）（</w:t>
      </w:r>
      <w:r>
        <w:rPr>
          <w:rFonts w:ascii="仿宋" w:hAnsi="仿宋" w:eastAsia="仿宋" w:cs="仿宋"/>
          <w:sz w:val="32"/>
          <w:szCs w:val="32"/>
        </w:rPr>
        <w:t>504</w:t>
      </w:r>
      <w:r>
        <w:rPr>
          <w:rFonts w:hint="eastAsia" w:ascii="仿宋" w:hAnsi="仿宋" w:eastAsia="仿宋" w:cs="仿宋"/>
          <w:sz w:val="32"/>
          <w:szCs w:val="32"/>
        </w:rPr>
        <w:t>）</w:t>
      </w:r>
      <w:r>
        <w:rPr>
          <w:rFonts w:ascii="仿宋" w:hAnsi="仿宋" w:eastAsia="仿宋" w:cs="仿宋"/>
          <w:sz w:val="32"/>
          <w:szCs w:val="32"/>
        </w:rPr>
        <w:t>0.00</w:t>
      </w:r>
      <w:r>
        <w:rPr>
          <w:rFonts w:hint="eastAsia" w:ascii="仿宋" w:hAnsi="仿宋" w:eastAsia="仿宋" w:cs="仿宋"/>
          <w:sz w:val="32"/>
          <w:szCs w:val="32"/>
        </w:rPr>
        <w:t>万元，较上年增加</w:t>
      </w:r>
      <w:r>
        <w:rPr>
          <w:rFonts w:ascii="仿宋" w:hAnsi="仿宋" w:eastAsia="仿宋" w:cs="仿宋"/>
          <w:sz w:val="32"/>
          <w:szCs w:val="32"/>
        </w:rPr>
        <w:t xml:space="preserve">0.00 </w:t>
      </w:r>
      <w:r>
        <w:rPr>
          <w:rFonts w:hint="eastAsia" w:ascii="仿宋" w:hAnsi="仿宋" w:eastAsia="仿宋" w:cs="仿宋"/>
          <w:sz w:val="32"/>
          <w:szCs w:val="32"/>
        </w:rPr>
        <w:t>万元，原因是无此项支出。</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b/>
          <w:bCs/>
          <w:sz w:val="32"/>
          <w:szCs w:val="32"/>
        </w:rPr>
      </w:pPr>
      <w:r>
        <w:rPr>
          <w:rFonts w:hint="eastAsia" w:ascii="仿宋" w:hAnsi="仿宋" w:eastAsia="仿宋" w:cs="仿宋"/>
          <w:b/>
          <w:bCs/>
          <w:sz w:val="32"/>
          <w:szCs w:val="32"/>
        </w:rPr>
        <w:t>（四）政府性基金预算支出情况</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本单位无当年政府性基金预算收支，并已公开空表。</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b/>
          <w:bCs/>
          <w:sz w:val="32"/>
          <w:szCs w:val="32"/>
        </w:rPr>
      </w:pPr>
      <w:r>
        <w:rPr>
          <w:rFonts w:hint="eastAsia" w:ascii="仿宋" w:hAnsi="仿宋" w:eastAsia="仿宋" w:cs="仿宋"/>
          <w:b/>
          <w:bCs/>
          <w:sz w:val="32"/>
          <w:szCs w:val="32"/>
        </w:rPr>
        <w:t>（五）国有资本经营预算拨款收支情况</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本单位无当年国有资本经营预算拨款收支，并已公开空表。</w:t>
      </w:r>
    </w:p>
    <w:p>
      <w:pPr>
        <w:keepNext w:val="0"/>
        <w:keepLines w:val="0"/>
        <w:pageBreakBefore w:val="0"/>
        <w:widowControl w:val="0"/>
        <w:kinsoku/>
        <w:wordWrap/>
        <w:overflowPunct/>
        <w:topLinePunct w:val="0"/>
        <w:autoSpaceDE/>
        <w:autoSpaceDN/>
        <w:bidi w:val="0"/>
        <w:adjustRightInd/>
        <w:snapToGrid/>
        <w:spacing w:line="520" w:lineRule="exact"/>
        <w:ind w:firstLine="31680"/>
        <w:jc w:val="center"/>
        <w:textAlignment w:val="auto"/>
        <w:rPr>
          <w:rFonts w:ascii="仿宋_GB2312" w:hAnsi="仿宋_GB2312" w:eastAsia="仿宋_GB2312" w:cs="仿宋_GB2312"/>
          <w:sz w:val="32"/>
          <w:szCs w:val="32"/>
        </w:rPr>
      </w:pPr>
      <w:r>
        <w:rPr>
          <w:rFonts w:hint="eastAsia" w:ascii="宋体" w:hAnsi="宋体" w:cs="宋体"/>
          <w:b/>
          <w:bCs/>
          <w:sz w:val="32"/>
          <w:szCs w:val="32"/>
        </w:rPr>
        <w:t>第三部分</w:t>
      </w:r>
      <w:r>
        <w:rPr>
          <w:rFonts w:ascii="宋体" w:hAnsi="宋体" w:cs="宋体"/>
          <w:b/>
          <w:bCs/>
          <w:sz w:val="32"/>
          <w:szCs w:val="32"/>
        </w:rPr>
        <w:t xml:space="preserve">  </w:t>
      </w:r>
      <w:r>
        <w:rPr>
          <w:rFonts w:hint="eastAsia" w:ascii="宋体" w:hAnsi="宋体" w:cs="宋体"/>
          <w:b/>
          <w:bCs/>
          <w:sz w:val="32"/>
          <w:szCs w:val="32"/>
        </w:rPr>
        <w:t>其他情况</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_GB2312" w:hAnsi="仿宋_GB2312" w:eastAsia="仿宋_GB2312" w:cs="仿宋_GB2312"/>
          <w:sz w:val="32"/>
          <w:szCs w:val="32"/>
          <w:u w:val="single"/>
        </w:rPr>
      </w:pPr>
      <w:r>
        <w:rPr>
          <w:rFonts w:hint="eastAsia" w:ascii="仿宋_GB2312" w:hAnsi="仿宋_GB2312" w:eastAsia="仿宋_GB2312" w:cs="仿宋_GB2312"/>
          <w:b/>
          <w:bCs/>
          <w:sz w:val="32"/>
          <w:szCs w:val="32"/>
        </w:rPr>
        <w:t>五、“三公”经费及会议费、培训费情况说明</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本单位当年一般公共预算“三公”经费预算支出</w:t>
      </w:r>
      <w:r>
        <w:rPr>
          <w:rFonts w:ascii="仿宋" w:hAnsi="仿宋" w:eastAsia="仿宋" w:cs="仿宋"/>
          <w:sz w:val="32"/>
          <w:szCs w:val="32"/>
        </w:rPr>
        <w:t>7.60</w:t>
      </w:r>
      <w:r>
        <w:rPr>
          <w:rFonts w:hint="eastAsia" w:ascii="仿宋" w:hAnsi="仿宋" w:eastAsia="仿宋" w:cs="仿宋"/>
          <w:sz w:val="32"/>
          <w:szCs w:val="32"/>
        </w:rPr>
        <w:t>万元，较上年增加</w:t>
      </w:r>
      <w:r>
        <w:rPr>
          <w:rFonts w:ascii="仿宋" w:hAnsi="仿宋" w:eastAsia="仿宋" w:cs="仿宋"/>
          <w:sz w:val="32"/>
          <w:szCs w:val="32"/>
        </w:rPr>
        <w:t>0.20</w:t>
      </w:r>
      <w:r>
        <w:rPr>
          <w:rFonts w:hint="eastAsia" w:ascii="仿宋" w:hAnsi="仿宋" w:eastAsia="仿宋" w:cs="仿宋"/>
          <w:sz w:val="32"/>
          <w:szCs w:val="32"/>
        </w:rPr>
        <w:t>万元。其中：</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因公出国（境）经费</w:t>
      </w:r>
      <w:r>
        <w:rPr>
          <w:rFonts w:ascii="仿宋" w:hAnsi="仿宋" w:eastAsia="仿宋" w:cs="仿宋"/>
          <w:sz w:val="32"/>
          <w:szCs w:val="32"/>
        </w:rPr>
        <w:t>0</w:t>
      </w:r>
      <w:r>
        <w:rPr>
          <w:rFonts w:hint="eastAsia" w:ascii="仿宋" w:hAnsi="仿宋" w:eastAsia="仿宋" w:cs="仿宋"/>
          <w:sz w:val="32"/>
          <w:szCs w:val="32"/>
        </w:rPr>
        <w:t>万元，较上年增加</w:t>
      </w:r>
      <w:r>
        <w:rPr>
          <w:rFonts w:ascii="仿宋" w:hAnsi="仿宋" w:eastAsia="仿宋" w:cs="仿宋"/>
          <w:sz w:val="32"/>
          <w:szCs w:val="32"/>
        </w:rPr>
        <w:t>0</w:t>
      </w:r>
      <w:r>
        <w:rPr>
          <w:rFonts w:hint="eastAsia" w:ascii="仿宋" w:hAnsi="仿宋" w:eastAsia="仿宋" w:cs="仿宋"/>
          <w:sz w:val="32"/>
          <w:szCs w:val="32"/>
        </w:rPr>
        <w:t>万元，无增减的主要原因是上年及本年度本单位无此项经费预算；</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公务接待费费</w:t>
      </w:r>
      <w:r>
        <w:rPr>
          <w:rFonts w:ascii="仿宋" w:hAnsi="仿宋" w:eastAsia="仿宋" w:cs="仿宋"/>
          <w:sz w:val="32"/>
          <w:szCs w:val="32"/>
        </w:rPr>
        <w:t>3.10</w:t>
      </w:r>
      <w:r>
        <w:rPr>
          <w:rFonts w:hint="eastAsia" w:ascii="仿宋" w:hAnsi="仿宋" w:eastAsia="仿宋" w:cs="仿宋"/>
          <w:sz w:val="32"/>
          <w:szCs w:val="32"/>
        </w:rPr>
        <w:t>万元，较上年增加</w:t>
      </w:r>
      <w:r>
        <w:rPr>
          <w:rFonts w:ascii="仿宋" w:hAnsi="仿宋" w:eastAsia="仿宋" w:cs="仿宋"/>
          <w:sz w:val="32"/>
          <w:szCs w:val="32"/>
        </w:rPr>
        <w:t>0.20</w:t>
      </w:r>
      <w:r>
        <w:rPr>
          <w:rFonts w:hint="eastAsia" w:ascii="仿宋" w:hAnsi="仿宋" w:eastAsia="仿宋" w:cs="仿宋"/>
          <w:sz w:val="32"/>
          <w:szCs w:val="32"/>
        </w:rPr>
        <w:t>万元，增加的主要原因是根据工作安排预算；</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公务用车运行维护费</w:t>
      </w:r>
      <w:r>
        <w:rPr>
          <w:rFonts w:ascii="仿宋" w:hAnsi="仿宋" w:eastAsia="仿宋" w:cs="仿宋"/>
          <w:sz w:val="32"/>
          <w:szCs w:val="32"/>
        </w:rPr>
        <w:t>1.50</w:t>
      </w:r>
      <w:r>
        <w:rPr>
          <w:rFonts w:hint="eastAsia" w:ascii="仿宋" w:hAnsi="仿宋" w:eastAsia="仿宋" w:cs="仿宋"/>
          <w:sz w:val="32"/>
          <w:szCs w:val="32"/>
        </w:rPr>
        <w:t>万元，较上年增加</w:t>
      </w:r>
      <w:r>
        <w:rPr>
          <w:rFonts w:ascii="仿宋" w:hAnsi="仿宋" w:eastAsia="仿宋" w:cs="仿宋"/>
          <w:sz w:val="32"/>
          <w:szCs w:val="32"/>
        </w:rPr>
        <w:t>0.00</w:t>
      </w:r>
      <w:r>
        <w:rPr>
          <w:rFonts w:hint="eastAsia" w:ascii="仿宋" w:hAnsi="仿宋" w:eastAsia="仿宋" w:cs="仿宋"/>
          <w:sz w:val="32"/>
          <w:szCs w:val="32"/>
        </w:rPr>
        <w:t>万元，无增减的主要原因是本单位无公务用车。</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公务用车购置费</w:t>
      </w:r>
      <w:r>
        <w:rPr>
          <w:rFonts w:ascii="仿宋" w:hAnsi="仿宋" w:eastAsia="仿宋" w:cs="仿宋"/>
          <w:sz w:val="32"/>
          <w:szCs w:val="32"/>
        </w:rPr>
        <w:t>0</w:t>
      </w:r>
      <w:r>
        <w:rPr>
          <w:rFonts w:hint="eastAsia" w:ascii="仿宋" w:hAnsi="仿宋" w:eastAsia="仿宋" w:cs="仿宋"/>
          <w:sz w:val="32"/>
          <w:szCs w:val="32"/>
        </w:rPr>
        <w:t>万元，较上年增加</w:t>
      </w:r>
      <w:r>
        <w:rPr>
          <w:rFonts w:ascii="仿宋" w:hAnsi="仿宋" w:eastAsia="仿宋" w:cs="仿宋"/>
          <w:sz w:val="32"/>
          <w:szCs w:val="32"/>
        </w:rPr>
        <w:t>0</w:t>
      </w:r>
      <w:r>
        <w:rPr>
          <w:rFonts w:hint="eastAsia" w:ascii="仿宋" w:hAnsi="仿宋" w:eastAsia="仿宋" w:cs="仿宋"/>
          <w:sz w:val="32"/>
          <w:szCs w:val="32"/>
        </w:rPr>
        <w:t>万元（</w:t>
      </w:r>
      <w:r>
        <w:rPr>
          <w:rFonts w:ascii="仿宋" w:hAnsi="仿宋" w:eastAsia="仿宋" w:cs="仿宋"/>
          <w:sz w:val="32"/>
          <w:szCs w:val="32"/>
        </w:rPr>
        <w:t>0%</w:t>
      </w:r>
      <w:r>
        <w:rPr>
          <w:rFonts w:hint="eastAsia" w:ascii="仿宋" w:hAnsi="仿宋" w:eastAsia="仿宋" w:cs="仿宋"/>
          <w:sz w:val="32"/>
          <w:szCs w:val="32"/>
        </w:rPr>
        <w:t>），无增减的主要原因是上年及本年度本单位无此项经费预算。</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本单位当年一般公共预算会议费预算支出</w:t>
      </w:r>
      <w:r>
        <w:rPr>
          <w:rFonts w:ascii="仿宋" w:hAnsi="仿宋" w:eastAsia="仿宋" w:cs="仿宋"/>
          <w:sz w:val="32"/>
          <w:szCs w:val="32"/>
        </w:rPr>
        <w:t>2.50</w:t>
      </w:r>
      <w:r>
        <w:rPr>
          <w:rFonts w:hint="eastAsia" w:ascii="仿宋" w:hAnsi="仿宋" w:eastAsia="仿宋" w:cs="仿宋"/>
          <w:sz w:val="32"/>
          <w:szCs w:val="32"/>
        </w:rPr>
        <w:t>万元，较上年增加</w:t>
      </w:r>
      <w:r>
        <w:rPr>
          <w:rFonts w:ascii="仿宋" w:hAnsi="仿宋" w:eastAsia="仿宋" w:cs="仿宋"/>
          <w:sz w:val="32"/>
          <w:szCs w:val="32"/>
        </w:rPr>
        <w:t>0.00</w:t>
      </w:r>
      <w:r>
        <w:rPr>
          <w:rFonts w:hint="eastAsia" w:ascii="仿宋" w:hAnsi="仿宋" w:eastAsia="仿宋" w:cs="仿宋"/>
          <w:sz w:val="32"/>
          <w:szCs w:val="32"/>
        </w:rPr>
        <w:t>万元，无增减的主要原因根据工作计划当年无此项预算安排。</w:t>
      </w:r>
    </w:p>
    <w:p>
      <w:pPr>
        <w:keepNext w:val="0"/>
        <w:keepLines w:val="0"/>
        <w:pageBreakBefore w:val="0"/>
        <w:widowControl w:val="0"/>
        <w:kinsoku/>
        <w:wordWrap/>
        <w:overflowPunct/>
        <w:topLinePunct w:val="0"/>
        <w:autoSpaceDE/>
        <w:autoSpaceDN/>
        <w:bidi w:val="0"/>
        <w:adjustRightInd/>
        <w:snapToGrid/>
        <w:spacing w:line="520" w:lineRule="exact"/>
        <w:ind w:firstLine="31680"/>
        <w:textAlignment w:val="auto"/>
        <w:rPr>
          <w:rFonts w:ascii="仿宋" w:hAnsi="仿宋" w:eastAsia="仿宋" w:cs="仿宋"/>
          <w:sz w:val="32"/>
          <w:szCs w:val="32"/>
        </w:rPr>
      </w:pPr>
      <w:r>
        <w:rPr>
          <w:rFonts w:hint="eastAsia" w:ascii="仿宋" w:hAnsi="仿宋" w:eastAsia="仿宋" w:cs="仿宋"/>
          <w:sz w:val="32"/>
          <w:szCs w:val="32"/>
        </w:rPr>
        <w:t>本单位当年一般公共预算培训费预算支出</w:t>
      </w:r>
      <w:r>
        <w:rPr>
          <w:rFonts w:ascii="仿宋" w:hAnsi="仿宋" w:eastAsia="仿宋" w:cs="仿宋"/>
          <w:sz w:val="32"/>
          <w:szCs w:val="32"/>
        </w:rPr>
        <w:t>0.50</w:t>
      </w:r>
      <w:r>
        <w:rPr>
          <w:rFonts w:hint="eastAsia" w:ascii="仿宋" w:hAnsi="仿宋" w:eastAsia="仿宋" w:cs="仿宋"/>
          <w:sz w:val="32"/>
          <w:szCs w:val="32"/>
        </w:rPr>
        <w:t>万元，较上年增加</w:t>
      </w:r>
      <w:r>
        <w:rPr>
          <w:rFonts w:ascii="仿宋" w:hAnsi="仿宋" w:eastAsia="仿宋" w:cs="仿宋"/>
          <w:sz w:val="32"/>
          <w:szCs w:val="32"/>
        </w:rPr>
        <w:t>0.50</w:t>
      </w:r>
      <w:r>
        <w:rPr>
          <w:rFonts w:hint="eastAsia" w:ascii="仿宋" w:hAnsi="仿宋" w:eastAsia="仿宋" w:cs="仿宋"/>
          <w:sz w:val="32"/>
          <w:szCs w:val="32"/>
        </w:rPr>
        <w:t>万元，增加的主要原因是根据工作需要预算。</w:t>
      </w:r>
    </w:p>
    <w:p>
      <w:pPr>
        <w:ind w:firstLine="31680"/>
        <w:jc w:val="center"/>
        <w:rPr>
          <w:rFonts w:ascii="黑体" w:hAnsi="黑体" w:eastAsia="黑体"/>
          <w:sz w:val="32"/>
          <w:szCs w:val="32"/>
        </w:rPr>
      </w:pPr>
      <w:r>
        <w:rPr>
          <w:rFonts w:hint="eastAsia" w:ascii="黑体" w:hAnsi="黑体" w:eastAsia="黑体"/>
          <w:sz w:val="32"/>
          <w:szCs w:val="32"/>
        </w:rPr>
        <w:t>会议费培训费明细</w:t>
      </w:r>
      <w:r>
        <w:rPr>
          <w:rFonts w:ascii="黑体" w:hAnsi="黑体" w:eastAsia="黑体"/>
          <w:sz w:val="32"/>
          <w:szCs w:val="32"/>
        </w:rPr>
        <w:t xml:space="preserve"> </w:t>
      </w:r>
    </w:p>
    <w:p>
      <w:pPr>
        <w:ind w:firstLine="31680"/>
        <w:jc w:val="right"/>
        <w:rPr>
          <w:rFonts w:ascii="仿宋" w:hAnsi="仿宋" w:eastAsia="仿宋" w:cs="仿宋"/>
        </w:rPr>
      </w:pPr>
      <w:r>
        <w:rPr>
          <w:rFonts w:hint="eastAsia" w:ascii="仿宋" w:hAnsi="仿宋" w:eastAsia="仿宋" w:cs="仿宋"/>
        </w:rPr>
        <w:t>单位：万元</w:t>
      </w:r>
    </w:p>
    <w:tbl>
      <w:tblPr>
        <w:tblStyle w:val="6"/>
        <w:tblW w:w="94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8"/>
        <w:gridCol w:w="1973"/>
        <w:gridCol w:w="2777"/>
        <w:gridCol w:w="1267"/>
        <w:gridCol w:w="1083"/>
        <w:gridCol w:w="1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018"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ascii="黑体" w:hAnsi="黑体" w:eastAsia="黑体"/>
                <w:sz w:val="28"/>
                <w:szCs w:val="28"/>
              </w:rPr>
            </w:pPr>
            <w:r>
              <w:rPr>
                <w:rFonts w:hint="eastAsia" w:ascii="黑体" w:hAnsi="黑体" w:eastAsia="黑体"/>
                <w:sz w:val="28"/>
                <w:szCs w:val="28"/>
              </w:rPr>
              <w:t>序号</w:t>
            </w:r>
          </w:p>
        </w:tc>
        <w:tc>
          <w:tcPr>
            <w:tcW w:w="1973"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hint="eastAsia" w:ascii="黑体" w:hAnsi="黑体" w:eastAsia="黑体"/>
                <w:sz w:val="28"/>
                <w:szCs w:val="28"/>
              </w:rPr>
            </w:pPr>
            <w:r>
              <w:rPr>
                <w:rFonts w:hint="eastAsia" w:ascii="黑体" w:hAnsi="黑体" w:eastAsia="黑体"/>
                <w:sz w:val="28"/>
                <w:szCs w:val="28"/>
              </w:rPr>
              <w:t>会议</w:t>
            </w:r>
            <w:r>
              <w:rPr>
                <w:rFonts w:ascii="黑体" w:hAnsi="黑体" w:eastAsia="黑体"/>
                <w:sz w:val="28"/>
                <w:szCs w:val="28"/>
              </w:rPr>
              <w:t>/</w:t>
            </w:r>
            <w:r>
              <w:rPr>
                <w:rFonts w:hint="eastAsia" w:ascii="黑体" w:hAnsi="黑体" w:eastAsia="黑体"/>
                <w:sz w:val="28"/>
                <w:szCs w:val="28"/>
              </w:rPr>
              <w:t>培训</w:t>
            </w:r>
          </w:p>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ascii="黑体" w:hAnsi="黑体" w:eastAsia="黑体"/>
                <w:sz w:val="28"/>
                <w:szCs w:val="28"/>
              </w:rPr>
            </w:pPr>
            <w:r>
              <w:rPr>
                <w:rFonts w:hint="eastAsia" w:ascii="黑体" w:hAnsi="黑体" w:eastAsia="黑体"/>
                <w:sz w:val="28"/>
                <w:szCs w:val="28"/>
              </w:rPr>
              <w:t>名称</w:t>
            </w:r>
          </w:p>
        </w:tc>
        <w:tc>
          <w:tcPr>
            <w:tcW w:w="2777"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ascii="黑体" w:hAnsi="黑体" w:eastAsia="黑体"/>
                <w:sz w:val="28"/>
                <w:szCs w:val="28"/>
              </w:rPr>
            </w:pPr>
            <w:r>
              <w:rPr>
                <w:rFonts w:hint="eastAsia" w:ascii="黑体" w:hAnsi="黑体" w:eastAsia="黑体"/>
                <w:sz w:val="28"/>
                <w:szCs w:val="28"/>
              </w:rPr>
              <w:t>时间</w:t>
            </w:r>
          </w:p>
        </w:tc>
        <w:tc>
          <w:tcPr>
            <w:tcW w:w="1267"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ascii="黑体" w:hAnsi="黑体" w:eastAsia="黑体"/>
                <w:sz w:val="28"/>
                <w:szCs w:val="28"/>
              </w:rPr>
            </w:pPr>
            <w:r>
              <w:rPr>
                <w:rFonts w:hint="eastAsia" w:ascii="黑体" w:hAnsi="黑体" w:eastAsia="黑体"/>
                <w:sz w:val="28"/>
                <w:szCs w:val="28"/>
              </w:rPr>
              <w:t>人数</w:t>
            </w:r>
          </w:p>
        </w:tc>
        <w:tc>
          <w:tcPr>
            <w:tcW w:w="1083"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ascii="黑体" w:hAnsi="黑体" w:eastAsia="黑体"/>
                <w:sz w:val="28"/>
                <w:szCs w:val="28"/>
              </w:rPr>
            </w:pPr>
            <w:r>
              <w:rPr>
                <w:rFonts w:hint="eastAsia" w:ascii="黑体" w:hAnsi="黑体" w:eastAsia="黑体"/>
                <w:sz w:val="28"/>
                <w:szCs w:val="28"/>
              </w:rPr>
              <w:t>金额</w:t>
            </w:r>
          </w:p>
        </w:tc>
        <w:tc>
          <w:tcPr>
            <w:tcW w:w="1340" w:type="dxa"/>
            <w:noWrap/>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center"/>
              <w:textAlignment w:val="auto"/>
              <w:rPr>
                <w:rFonts w:ascii="黑体" w:hAnsi="黑体" w:eastAsia="黑体"/>
                <w:sz w:val="28"/>
                <w:szCs w:val="28"/>
              </w:rPr>
            </w:pPr>
            <w:r>
              <w:rPr>
                <w:rFonts w:hint="eastAsia" w:ascii="黑体" w:hAnsi="黑体" w:eastAsia="黑体"/>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8" w:hRule="atLeast"/>
        </w:trPr>
        <w:tc>
          <w:tcPr>
            <w:tcW w:w="1018" w:type="dxa"/>
            <w:noWrap/>
            <w:vAlign w:val="center"/>
          </w:tcPr>
          <w:p>
            <w:pPr>
              <w:spacing w:line="360" w:lineRule="auto"/>
              <w:ind w:firstLine="0" w:firstLineChars="0"/>
              <w:jc w:val="center"/>
              <w:rPr>
                <w:rFonts w:ascii="仿宋_GB2312" w:hAnsi="仿宋_GB2312" w:eastAsia="仿宋_GB2312" w:cs="仿宋_GB2312"/>
                <w:sz w:val="28"/>
                <w:szCs w:val="28"/>
              </w:rPr>
            </w:pPr>
            <w:r>
              <w:rPr>
                <w:rFonts w:ascii="仿宋_GB2312" w:hAnsi="仿宋_GB2312" w:eastAsia="仿宋_GB2312" w:cs="仿宋_GB2312"/>
                <w:sz w:val="28"/>
                <w:szCs w:val="28"/>
              </w:rPr>
              <w:t>1</w:t>
            </w:r>
          </w:p>
        </w:tc>
        <w:tc>
          <w:tcPr>
            <w:tcW w:w="1973" w:type="dxa"/>
            <w:noWrap/>
            <w:vAlign w:val="center"/>
          </w:tcPr>
          <w:p>
            <w:pPr>
              <w:spacing w:line="360" w:lineRule="auto"/>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仲裁业务培训</w:t>
            </w:r>
          </w:p>
        </w:tc>
        <w:tc>
          <w:tcPr>
            <w:tcW w:w="2777" w:type="dxa"/>
            <w:noWrap/>
            <w:vAlign w:val="center"/>
          </w:tcPr>
          <w:p>
            <w:pPr>
              <w:spacing w:line="360" w:lineRule="auto"/>
              <w:ind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拟</w:t>
            </w:r>
            <w:r>
              <w:rPr>
                <w:rFonts w:ascii="仿宋_GB2312" w:hAnsi="仿宋_GB2312" w:eastAsia="仿宋_GB2312" w:cs="仿宋_GB2312"/>
                <w:sz w:val="28"/>
                <w:szCs w:val="28"/>
              </w:rPr>
              <w:t>2023</w:t>
            </w:r>
            <w:r>
              <w:rPr>
                <w:rFonts w:hint="eastAsia" w:ascii="仿宋_GB2312" w:hAnsi="仿宋_GB2312" w:eastAsia="仿宋_GB2312" w:cs="仿宋_GB2312"/>
                <w:sz w:val="28"/>
                <w:szCs w:val="28"/>
              </w:rPr>
              <w:t>年</w:t>
            </w:r>
            <w:r>
              <w:rPr>
                <w:rFonts w:ascii="仿宋_GB2312" w:hAnsi="仿宋_GB2312" w:eastAsia="仿宋_GB2312" w:cs="仿宋_GB2312"/>
                <w:sz w:val="28"/>
                <w:szCs w:val="28"/>
              </w:rPr>
              <w:t>8</w:t>
            </w:r>
            <w:r>
              <w:rPr>
                <w:rFonts w:hint="eastAsia" w:ascii="仿宋_GB2312" w:hAnsi="仿宋_GB2312" w:eastAsia="仿宋_GB2312" w:cs="仿宋_GB2312"/>
                <w:sz w:val="28"/>
                <w:szCs w:val="28"/>
              </w:rPr>
              <w:t>月</w:t>
            </w:r>
            <w:r>
              <w:rPr>
                <w:rFonts w:ascii="仿宋_GB2312" w:hAnsi="仿宋_GB2312" w:eastAsia="仿宋_GB2312" w:cs="仿宋_GB2312"/>
                <w:sz w:val="28"/>
                <w:szCs w:val="28"/>
              </w:rPr>
              <w:t>15</w:t>
            </w:r>
            <w:r>
              <w:rPr>
                <w:rFonts w:hint="eastAsia" w:ascii="仿宋_GB2312" w:hAnsi="仿宋_GB2312" w:eastAsia="仿宋_GB2312" w:cs="仿宋_GB2312"/>
                <w:sz w:val="28"/>
                <w:szCs w:val="28"/>
              </w:rPr>
              <w:t>日</w:t>
            </w:r>
          </w:p>
        </w:tc>
        <w:tc>
          <w:tcPr>
            <w:tcW w:w="1267" w:type="dxa"/>
            <w:noWrap/>
            <w:vAlign w:val="center"/>
          </w:tcPr>
          <w:p>
            <w:pPr>
              <w:spacing w:line="360" w:lineRule="auto"/>
              <w:ind w:left="0" w:leftChars="0" w:firstLine="0" w:firstLineChars="0"/>
              <w:jc w:val="center"/>
              <w:rPr>
                <w:rFonts w:ascii="仿宋_GB2312" w:hAnsi="仿宋_GB2312" w:eastAsia="仿宋_GB2312" w:cs="仿宋_GB2312"/>
                <w:sz w:val="28"/>
                <w:szCs w:val="28"/>
              </w:rPr>
            </w:pPr>
            <w:r>
              <w:rPr>
                <w:rFonts w:ascii="仿宋_GB2312" w:hAnsi="仿宋_GB2312" w:eastAsia="仿宋_GB2312" w:cs="仿宋_GB2312"/>
                <w:sz w:val="28"/>
                <w:szCs w:val="28"/>
              </w:rPr>
              <w:t>50</w:t>
            </w:r>
          </w:p>
        </w:tc>
        <w:tc>
          <w:tcPr>
            <w:tcW w:w="1083" w:type="dxa"/>
            <w:noWrap/>
            <w:vAlign w:val="center"/>
          </w:tcPr>
          <w:p>
            <w:pPr>
              <w:spacing w:line="360" w:lineRule="auto"/>
              <w:ind w:left="0" w:leftChars="0" w:firstLine="0" w:firstLineChars="0"/>
              <w:jc w:val="center"/>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0</w:t>
            </w:r>
            <w:r>
              <w:rPr>
                <w:rFonts w:ascii="仿宋_GB2312" w:hAnsi="仿宋_GB2312" w:eastAsia="仿宋_GB2312" w:cs="仿宋_GB2312"/>
                <w:sz w:val="28"/>
                <w:szCs w:val="28"/>
              </w:rPr>
              <w:t>.5</w:t>
            </w:r>
          </w:p>
        </w:tc>
        <w:tc>
          <w:tcPr>
            <w:tcW w:w="1340" w:type="dxa"/>
            <w:noWrap/>
            <w:vAlign w:val="center"/>
          </w:tcPr>
          <w:p>
            <w:pPr>
              <w:spacing w:line="360" w:lineRule="auto"/>
              <w:ind w:firstLine="31680"/>
              <w:jc w:val="center"/>
              <w:rPr>
                <w:rFonts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4" w:hRule="atLeast"/>
        </w:trPr>
        <w:tc>
          <w:tcPr>
            <w:tcW w:w="1018" w:type="dxa"/>
            <w:noWrap/>
            <w:vAlign w:val="center"/>
          </w:tcPr>
          <w:p>
            <w:pPr>
              <w:spacing w:line="360" w:lineRule="auto"/>
              <w:ind w:firstLine="0" w:firstLineChars="0"/>
              <w:jc w:val="center"/>
              <w:rPr>
                <w:rFonts w:ascii="仿宋_GB2312" w:hAnsi="仿宋_GB2312" w:eastAsia="仿宋_GB2312" w:cs="仿宋_GB2312"/>
                <w:sz w:val="28"/>
                <w:szCs w:val="28"/>
              </w:rPr>
            </w:pPr>
          </w:p>
        </w:tc>
        <w:tc>
          <w:tcPr>
            <w:tcW w:w="1973" w:type="dxa"/>
            <w:noWrap/>
            <w:vAlign w:val="center"/>
          </w:tcPr>
          <w:p>
            <w:pPr>
              <w:spacing w:line="360" w:lineRule="auto"/>
              <w:ind w:firstLine="0" w:firstLineChars="0"/>
              <w:jc w:val="center"/>
              <w:rPr>
                <w:rFonts w:ascii="仿宋_GB2312" w:hAnsi="仿宋_GB2312" w:eastAsia="仿宋_GB2312" w:cs="仿宋_GB2312"/>
                <w:sz w:val="28"/>
                <w:szCs w:val="28"/>
              </w:rPr>
            </w:pPr>
          </w:p>
        </w:tc>
        <w:tc>
          <w:tcPr>
            <w:tcW w:w="2777" w:type="dxa"/>
            <w:noWrap/>
            <w:vAlign w:val="center"/>
          </w:tcPr>
          <w:p>
            <w:pPr>
              <w:spacing w:line="360" w:lineRule="auto"/>
              <w:ind w:firstLine="0" w:firstLineChars="0"/>
              <w:jc w:val="center"/>
              <w:rPr>
                <w:rFonts w:ascii="仿宋_GB2312" w:hAnsi="仿宋_GB2312" w:eastAsia="仿宋_GB2312" w:cs="仿宋_GB2312"/>
                <w:sz w:val="28"/>
                <w:szCs w:val="28"/>
              </w:rPr>
            </w:pPr>
          </w:p>
        </w:tc>
        <w:tc>
          <w:tcPr>
            <w:tcW w:w="1267" w:type="dxa"/>
            <w:noWrap/>
            <w:vAlign w:val="center"/>
          </w:tcPr>
          <w:p>
            <w:pPr>
              <w:spacing w:line="360" w:lineRule="auto"/>
              <w:ind w:firstLine="31680"/>
              <w:jc w:val="center"/>
              <w:rPr>
                <w:rFonts w:ascii="仿宋_GB2312" w:hAnsi="仿宋_GB2312" w:eastAsia="仿宋_GB2312" w:cs="仿宋_GB2312"/>
                <w:sz w:val="28"/>
                <w:szCs w:val="28"/>
              </w:rPr>
            </w:pPr>
          </w:p>
        </w:tc>
        <w:tc>
          <w:tcPr>
            <w:tcW w:w="1083" w:type="dxa"/>
            <w:noWrap/>
            <w:vAlign w:val="center"/>
          </w:tcPr>
          <w:p>
            <w:pPr>
              <w:spacing w:line="360" w:lineRule="auto"/>
              <w:ind w:firstLine="31680"/>
              <w:jc w:val="center"/>
              <w:rPr>
                <w:rFonts w:ascii="仿宋_GB2312" w:hAnsi="仿宋_GB2312" w:eastAsia="仿宋_GB2312" w:cs="仿宋_GB2312"/>
                <w:sz w:val="28"/>
                <w:szCs w:val="28"/>
              </w:rPr>
            </w:pPr>
          </w:p>
        </w:tc>
        <w:tc>
          <w:tcPr>
            <w:tcW w:w="1340" w:type="dxa"/>
            <w:noWrap/>
            <w:vAlign w:val="center"/>
          </w:tcPr>
          <w:p>
            <w:pPr>
              <w:spacing w:line="360" w:lineRule="auto"/>
              <w:ind w:firstLine="31680"/>
              <w:jc w:val="center"/>
              <w:rPr>
                <w:rFonts w:ascii="仿宋_GB2312" w:hAnsi="仿宋_GB2312" w:eastAsia="仿宋_GB2312" w:cs="仿宋_GB2312"/>
                <w:sz w:val="28"/>
                <w:szCs w:val="28"/>
              </w:rPr>
            </w:pPr>
          </w:p>
        </w:tc>
      </w:tr>
    </w:tbl>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六、国有资产占有使用及资产购置情况说明</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_GB2312" w:hAnsi="仿宋_GB2312" w:eastAsia="仿宋_GB2312" w:cs="仿宋_GB2312"/>
          <w:sz w:val="32"/>
          <w:szCs w:val="32"/>
        </w:rPr>
        <w:t>截止上年底，本单位共有车辆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辆，单价</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万元以上的设备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台（套）。当年部门预算安排购置车辆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辆；安排购置单价</w:t>
      </w:r>
      <w:r>
        <w:rPr>
          <w:rFonts w:ascii="仿宋_GB2312" w:hAnsi="仿宋_GB2312" w:eastAsia="仿宋_GB2312" w:cs="仿宋_GB2312"/>
          <w:sz w:val="32"/>
          <w:szCs w:val="32"/>
        </w:rPr>
        <w:t>20</w:t>
      </w:r>
      <w:r>
        <w:rPr>
          <w:rFonts w:hint="eastAsia" w:ascii="仿宋_GB2312" w:hAnsi="仿宋_GB2312" w:eastAsia="仿宋_GB2312" w:cs="仿宋_GB2312"/>
          <w:sz w:val="32"/>
          <w:szCs w:val="32"/>
        </w:rPr>
        <w:t>万元以上的设备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七、政府采购情况说明</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_GB2312" w:hAnsi="仿宋_GB2312" w:eastAsia="仿宋_GB2312" w:cs="仿宋_GB2312"/>
          <w:sz w:val="32"/>
          <w:szCs w:val="32"/>
        </w:rPr>
        <w:t>本单位当年无政府采购预算，并已公开空表</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八、绩效目标情况说明</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_GB2312" w:hAnsi="仿宋_GB2312" w:eastAsia="仿宋_GB2312" w:cs="仿宋_GB2312"/>
          <w:sz w:val="32"/>
          <w:szCs w:val="32"/>
        </w:rPr>
        <w:t>本单位绩效目标管理全覆盖，</w:t>
      </w:r>
      <w:r>
        <w:rPr>
          <w:rFonts w:hint="eastAsia" w:ascii="仿宋" w:hAnsi="仿宋" w:eastAsia="仿宋" w:cs="仿宋"/>
          <w:sz w:val="32"/>
          <w:szCs w:val="32"/>
        </w:rPr>
        <w:t>涉及当年一般公共预算拨款</w:t>
      </w:r>
      <w:r>
        <w:rPr>
          <w:rFonts w:ascii="仿宋" w:hAnsi="仿宋" w:eastAsia="仿宋" w:cs="仿宋"/>
          <w:sz w:val="32"/>
          <w:szCs w:val="32"/>
        </w:rPr>
        <w:t>1160.06</w:t>
      </w:r>
      <w:r>
        <w:rPr>
          <w:rFonts w:hint="eastAsia" w:ascii="仿宋" w:hAnsi="仿宋" w:eastAsia="仿宋" w:cs="仿宋"/>
          <w:sz w:val="32"/>
          <w:szCs w:val="32"/>
        </w:rPr>
        <w:t>万元</w:t>
      </w:r>
      <w:r>
        <w:rPr>
          <w:rFonts w:ascii="仿宋" w:hAnsi="仿宋" w:eastAsia="仿宋" w:cs="仿宋"/>
          <w:sz w:val="32"/>
          <w:szCs w:val="32"/>
        </w:rPr>
        <w:t>,</w:t>
      </w:r>
      <w:r>
        <w:rPr>
          <w:rFonts w:hint="eastAsia" w:ascii="仿宋" w:hAnsi="仿宋" w:eastAsia="仿宋" w:cs="仿宋"/>
          <w:sz w:val="32"/>
          <w:szCs w:val="32"/>
        </w:rPr>
        <w:t>当年政府性基金预算拨款</w:t>
      </w:r>
      <w:r>
        <w:rPr>
          <w:rFonts w:ascii="仿宋" w:hAnsi="仿宋" w:eastAsia="仿宋" w:cs="仿宋"/>
          <w:sz w:val="32"/>
          <w:szCs w:val="32"/>
        </w:rPr>
        <w:t>0</w:t>
      </w:r>
      <w:r>
        <w:rPr>
          <w:rFonts w:hint="eastAsia" w:ascii="仿宋" w:hAnsi="仿宋" w:eastAsia="仿宋" w:cs="仿宋"/>
          <w:sz w:val="32"/>
          <w:szCs w:val="32"/>
        </w:rPr>
        <w:t>万元，当年国有资本经营预算拨款</w:t>
      </w:r>
      <w:r>
        <w:rPr>
          <w:rFonts w:ascii="仿宋" w:hAnsi="仿宋" w:eastAsia="仿宋" w:cs="仿宋"/>
          <w:sz w:val="32"/>
          <w:szCs w:val="32"/>
        </w:rPr>
        <w:t>0</w:t>
      </w:r>
      <w:r>
        <w:rPr>
          <w:rFonts w:hint="eastAsia" w:ascii="仿宋" w:hAnsi="仿宋" w:eastAsia="仿宋" w:cs="仿宋"/>
          <w:sz w:val="32"/>
          <w:szCs w:val="32"/>
        </w:rPr>
        <w:t>万元（详见公开报表中的绩效目标表）。</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九、公用经费情况说明</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hint="eastAsia" w:ascii="仿宋_GB2312" w:hAnsi="仿宋_GB2312" w:eastAsia="仿宋_GB2312" w:cs="仿宋_GB2312"/>
          <w:sz w:val="32"/>
          <w:szCs w:val="32"/>
        </w:rPr>
        <w:t>本单位当年公用经费预算安排</w:t>
      </w:r>
      <w:r>
        <w:rPr>
          <w:rFonts w:ascii="仿宋_GB2312" w:hAnsi="仿宋_GB2312" w:eastAsia="仿宋_GB2312" w:cs="仿宋_GB2312"/>
          <w:sz w:val="32"/>
          <w:szCs w:val="32"/>
        </w:rPr>
        <w:t>64.10</w:t>
      </w:r>
      <w:r>
        <w:rPr>
          <w:rFonts w:hint="eastAsia" w:ascii="仿宋_GB2312" w:hAnsi="仿宋_GB2312" w:eastAsia="仿宋_GB2312" w:cs="仿宋_GB2312"/>
          <w:sz w:val="32"/>
          <w:szCs w:val="32"/>
        </w:rPr>
        <w:t>万元，较上年增加</w:t>
      </w:r>
      <w:r>
        <w:rPr>
          <w:rFonts w:ascii="仿宋_GB2312" w:hAnsi="仿宋_GB2312" w:eastAsia="仿宋_GB2312" w:cs="仿宋_GB2312"/>
          <w:sz w:val="32"/>
          <w:szCs w:val="32"/>
        </w:rPr>
        <w:t>1.59</w:t>
      </w:r>
      <w:r>
        <w:rPr>
          <w:rFonts w:hint="eastAsia" w:ascii="仿宋_GB2312" w:hAnsi="仿宋_GB2312" w:eastAsia="仿宋_GB2312" w:cs="仿宋_GB2312"/>
          <w:sz w:val="32"/>
          <w:szCs w:val="32"/>
        </w:rPr>
        <w:t>万元，主要</w:t>
      </w:r>
      <w:r>
        <w:rPr>
          <w:rFonts w:hint="eastAsia" w:ascii="仿宋" w:hAnsi="仿宋" w:eastAsia="仿宋" w:cs="仿宋"/>
          <w:sz w:val="32"/>
          <w:szCs w:val="32"/>
        </w:rPr>
        <w:t>原因是人员经费中其他交通费用增加，办公费、公务接待费、培训费增加。</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sz w:val="32"/>
          <w:szCs w:val="32"/>
        </w:rPr>
      </w:pPr>
      <w:r>
        <w:rPr>
          <w:rFonts w:hint="eastAsia" w:ascii="仿宋_GB2312" w:hAnsi="仿宋_GB2312" w:eastAsia="仿宋_GB2312" w:cs="仿宋_GB2312"/>
          <w:b/>
          <w:bCs/>
          <w:sz w:val="32"/>
          <w:szCs w:val="32"/>
        </w:rPr>
        <w:t>十、专业名词解释</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公用经费：包括办公及印刷费、邮电费、差旅费、会议费、福利费、日常维修费、专用材料及一般设备购置费、办公用房水电费、办公用房取暖费、办公用房物业管理费、公务用车运行维护费以及其他费用。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 w:hAnsi="仿宋" w:eastAsia="仿宋" w:cs="仿宋"/>
          <w:sz w:val="32"/>
          <w:szCs w:val="32"/>
        </w:rPr>
      </w:pPr>
      <w:r>
        <w:rPr>
          <w:rFonts w:ascii="仿宋_GB2312" w:hAnsi="仿宋_GB2312" w:eastAsia="仿宋_GB2312" w:cs="仿宋_GB2312"/>
          <w:sz w:val="32"/>
          <w:szCs w:val="32"/>
        </w:rPr>
        <w:t>2.</w:t>
      </w:r>
      <w:r>
        <w:rPr>
          <w:rFonts w:hint="eastAsia" w:ascii="仿宋" w:hAnsi="仿宋" w:eastAsia="仿宋" w:cs="仿宋"/>
          <w:sz w:val="32"/>
          <w:szCs w:val="32"/>
        </w:rPr>
        <w:t>“三公”经费</w:t>
      </w:r>
      <w:r>
        <w:rPr>
          <w:rFonts w:ascii="仿宋" w:hAnsi="仿宋" w:eastAsia="仿宋" w:cs="仿宋"/>
          <w:sz w:val="32"/>
          <w:szCs w:val="32"/>
        </w:rPr>
        <w:t>:</w:t>
      </w:r>
      <w:r>
        <w:rPr>
          <w:rFonts w:hint="eastAsia" w:ascii="仿宋" w:hAnsi="仿宋" w:eastAsia="仿宋" w:cs="仿宋"/>
          <w:sz w:val="32"/>
          <w:szCs w:val="32"/>
        </w:rPr>
        <w:t>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支出。</w:t>
      </w:r>
      <w:r>
        <w:rPr>
          <w:rFonts w:ascii="仿宋" w:hAnsi="仿宋" w:eastAsia="仿宋" w:cs="仿宋"/>
          <w:sz w:val="32"/>
          <w:szCs w:val="32"/>
        </w:rPr>
        <w:br w:type="textWrapping"/>
      </w:r>
      <w:r>
        <w:rPr>
          <w:rFonts w:ascii="仿宋" w:hAnsi="仿宋" w:eastAsia="仿宋" w:cs="仿宋"/>
          <w:sz w:val="32"/>
          <w:szCs w:val="32"/>
        </w:rPr>
        <w:t xml:space="preserve">    3.</w:t>
      </w:r>
      <w:r>
        <w:rPr>
          <w:rFonts w:hint="eastAsia" w:ascii="仿宋" w:hAnsi="仿宋" w:eastAsia="仿宋" w:cs="仿宋"/>
          <w:sz w:val="32"/>
          <w:szCs w:val="32"/>
        </w:rPr>
        <w:t>工资福利支出</w:t>
      </w:r>
      <w:r>
        <w:rPr>
          <w:rFonts w:ascii="仿宋" w:hAnsi="仿宋" w:eastAsia="仿宋" w:cs="仿宋"/>
          <w:sz w:val="32"/>
          <w:szCs w:val="32"/>
        </w:rPr>
        <w:t>:</w:t>
      </w:r>
      <w:r>
        <w:rPr>
          <w:rFonts w:hint="eastAsia" w:ascii="仿宋" w:hAnsi="仿宋" w:eastAsia="仿宋" w:cs="仿宋"/>
          <w:sz w:val="32"/>
          <w:szCs w:val="32"/>
        </w:rPr>
        <w:t>反映单位开支的在职职工和编制外长期聘用人员的各类劳动报酬，以及为上述人员缴纳的各项社会保险费等。主要有基本工资、津贴补贴、奖金、绩效工资、机关事业单位基本养老保险缴费、职业年金缴费、职工基本医疗保险缴费、住房公积金等。</w:t>
      </w:r>
      <w:r>
        <w:rPr>
          <w:rFonts w:ascii="仿宋" w:hAnsi="仿宋" w:eastAsia="仿宋" w:cs="仿宋"/>
          <w:sz w:val="32"/>
          <w:szCs w:val="32"/>
        </w:rPr>
        <w:br w:type="textWrapping"/>
      </w:r>
      <w:r>
        <w:rPr>
          <w:rFonts w:ascii="仿宋" w:hAnsi="仿宋" w:eastAsia="仿宋" w:cs="仿宋"/>
          <w:sz w:val="32"/>
          <w:szCs w:val="32"/>
        </w:rPr>
        <w:t xml:space="preserve">    4.</w:t>
      </w:r>
      <w:r>
        <w:rPr>
          <w:rFonts w:hint="eastAsia" w:ascii="仿宋" w:hAnsi="仿宋" w:eastAsia="仿宋" w:cs="仿宋"/>
          <w:sz w:val="32"/>
          <w:szCs w:val="32"/>
        </w:rPr>
        <w:t>商品和服务支出</w:t>
      </w:r>
      <w:r>
        <w:rPr>
          <w:rFonts w:ascii="仿宋" w:hAnsi="仿宋" w:eastAsia="仿宋" w:cs="仿宋"/>
          <w:sz w:val="32"/>
          <w:szCs w:val="32"/>
        </w:rPr>
        <w:t>:</w:t>
      </w:r>
      <w:r>
        <w:rPr>
          <w:rFonts w:hint="eastAsia" w:ascii="仿宋" w:hAnsi="仿宋" w:eastAsia="仿宋" w:cs="仿宋"/>
          <w:sz w:val="32"/>
          <w:szCs w:val="32"/>
        </w:rPr>
        <w:t>反映单位购买商品和服务的支出，不包括用于购置固定资产、战略性和应急性物资储备等资本性支出。主要有办公费、差旅费、会议费、培训费、印刷费、邮电费、维修费、公务用车运行维护费等。</w:t>
      </w:r>
      <w:r>
        <w:rPr>
          <w:rFonts w:ascii="仿宋" w:hAnsi="仿宋" w:eastAsia="仿宋" w:cs="仿宋"/>
          <w:sz w:val="32"/>
          <w:szCs w:val="32"/>
        </w:rPr>
        <w:br w:type="textWrapping"/>
      </w:r>
      <w:r>
        <w:rPr>
          <w:rFonts w:ascii="仿宋" w:hAnsi="仿宋" w:eastAsia="仿宋" w:cs="仿宋"/>
          <w:sz w:val="32"/>
          <w:szCs w:val="32"/>
        </w:rPr>
        <w:t xml:space="preserve">    5.</w:t>
      </w:r>
      <w:r>
        <w:rPr>
          <w:rFonts w:hint="eastAsia" w:ascii="仿宋" w:hAnsi="仿宋" w:eastAsia="仿宋" w:cs="仿宋"/>
          <w:sz w:val="32"/>
          <w:szCs w:val="32"/>
        </w:rPr>
        <w:t>对个人和家庭的补助支出</w:t>
      </w:r>
      <w:r>
        <w:rPr>
          <w:rFonts w:ascii="仿宋" w:hAnsi="仿宋" w:eastAsia="仿宋" w:cs="仿宋"/>
          <w:sz w:val="32"/>
          <w:szCs w:val="32"/>
        </w:rPr>
        <w:t>:</w:t>
      </w:r>
      <w:r>
        <w:rPr>
          <w:rFonts w:hint="eastAsia" w:ascii="仿宋" w:hAnsi="仿宋" w:eastAsia="仿宋" w:cs="仿宋"/>
          <w:sz w:val="32"/>
          <w:szCs w:val="32"/>
        </w:rPr>
        <w:t>反映政府用于对个人和家庭的补助支出。主要有离休费、退休费、抚恤金、生活补助、救济费、奖励金等。</w:t>
      </w:r>
    </w:p>
    <w:p>
      <w:pPr>
        <w:keepNext w:val="0"/>
        <w:keepLines w:val="0"/>
        <w:pageBreakBefore w:val="0"/>
        <w:widowControl w:val="0"/>
        <w:kinsoku/>
        <w:wordWrap/>
        <w:overflowPunct/>
        <w:topLinePunct w:val="0"/>
        <w:autoSpaceDE/>
        <w:autoSpaceDN/>
        <w:bidi w:val="0"/>
        <w:adjustRightInd/>
        <w:snapToGrid/>
        <w:spacing w:line="540" w:lineRule="exact"/>
        <w:ind w:firstLine="31680"/>
        <w:textAlignment w:val="auto"/>
        <w:rPr>
          <w:rFonts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1680"/>
        <w:jc w:val="center"/>
        <w:textAlignment w:val="auto"/>
        <w:rPr>
          <w:rFonts w:ascii="宋体" w:cs="宋体"/>
          <w:b/>
          <w:bCs/>
          <w:sz w:val="32"/>
          <w:szCs w:val="32"/>
        </w:rPr>
      </w:pPr>
      <w:r>
        <w:rPr>
          <w:rFonts w:hint="eastAsia" w:ascii="宋体" w:hAnsi="宋体" w:cs="宋体"/>
          <w:b/>
          <w:bCs/>
          <w:sz w:val="32"/>
          <w:szCs w:val="32"/>
        </w:rPr>
        <w:t>第四部分</w:t>
      </w:r>
      <w:r>
        <w:rPr>
          <w:rFonts w:ascii="宋体" w:hAnsi="宋体" w:cs="宋体"/>
          <w:b/>
          <w:bCs/>
          <w:sz w:val="32"/>
          <w:szCs w:val="32"/>
        </w:rPr>
        <w:t xml:space="preserve">  </w:t>
      </w:r>
      <w:r>
        <w:rPr>
          <w:rFonts w:hint="eastAsia" w:ascii="宋体" w:hAnsi="宋体" w:cs="宋体"/>
          <w:b/>
          <w:bCs/>
          <w:sz w:val="32"/>
          <w:szCs w:val="32"/>
        </w:rPr>
        <w:t>公开报表</w:t>
      </w:r>
    </w:p>
    <w:p>
      <w:pPr>
        <w:keepNext w:val="0"/>
        <w:keepLines w:val="0"/>
        <w:pageBreakBefore w:val="0"/>
        <w:widowControl w:val="0"/>
        <w:kinsoku/>
        <w:wordWrap/>
        <w:overflowPunct/>
        <w:topLinePunct w:val="0"/>
        <w:autoSpaceDE/>
        <w:autoSpaceDN/>
        <w:bidi w:val="0"/>
        <w:adjustRightInd/>
        <w:snapToGrid/>
        <w:spacing w:line="540" w:lineRule="exact"/>
        <w:ind w:firstLine="31680"/>
        <w:jc w:val="center"/>
        <w:textAlignment w:val="auto"/>
        <w:rPr>
          <w:rFonts w:ascii="宋体" w:cs="宋体"/>
          <w:b/>
          <w:bCs/>
          <w:sz w:val="28"/>
          <w:szCs w:val="28"/>
        </w:rPr>
      </w:pPr>
      <w:r>
        <w:rPr>
          <w:rFonts w:ascii="宋体" w:hAnsi="宋体" w:cs="宋体"/>
          <w:b/>
          <w:bCs/>
          <w:sz w:val="28"/>
          <w:szCs w:val="28"/>
        </w:rPr>
        <w:t xml:space="preserve">   (</w:t>
      </w:r>
      <w:r>
        <w:rPr>
          <w:rFonts w:hint="eastAsia" w:ascii="宋体" w:hAnsi="宋体" w:cs="宋体"/>
          <w:b/>
          <w:bCs/>
          <w:sz w:val="28"/>
          <w:szCs w:val="28"/>
        </w:rPr>
        <w:t>具体单位预算公开报表</w:t>
      </w:r>
      <w:r>
        <w:rPr>
          <w:rFonts w:ascii="宋体" w:hAnsi="宋体" w:cs="宋体"/>
          <w:b/>
          <w:bCs/>
          <w:sz w:val="28"/>
          <w:szCs w:val="28"/>
        </w:rPr>
        <w:t>)</w:t>
      </w:r>
    </w:p>
    <w:sectPr>
      <w:footerReference r:id="rId3" w:type="default"/>
      <w:pgSz w:w="11906" w:h="16838"/>
      <w:pgMar w:top="1701" w:right="1417" w:bottom="1701" w:left="170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ascii="仿宋" w:hAnsi="仿宋" w:eastAsia="仿宋" w:cs="仿宋"/>
                    <w:sz w:val="28"/>
                    <w:szCs w:val="28"/>
                    <w:lang w:eastAsia="zh-CN"/>
                  </w:rPr>
                </w:pPr>
                <w:r>
                  <w:rPr>
                    <w:rFonts w:hint="eastAsia" w:ascii="仿宋" w:hAnsi="仿宋" w:eastAsia="仿宋" w:cs="仿宋"/>
                    <w:sz w:val="28"/>
                    <w:szCs w:val="28"/>
                    <w:lang w:eastAsia="zh-CN"/>
                  </w:rPr>
                  <w:fldChar w:fldCharType="begin"/>
                </w:r>
                <w:r>
                  <w:rPr>
                    <w:rFonts w:hint="eastAsia" w:ascii="仿宋" w:hAnsi="仿宋" w:eastAsia="仿宋" w:cs="仿宋"/>
                    <w:sz w:val="28"/>
                    <w:szCs w:val="28"/>
                    <w:lang w:eastAsia="zh-CN"/>
                  </w:rPr>
                  <w:instrText xml:space="preserve"> PAGE  \* MERGEFORMAT </w:instrText>
                </w:r>
                <w:r>
                  <w:rPr>
                    <w:rFonts w:hint="eastAsia" w:ascii="仿宋" w:hAnsi="仿宋" w:eastAsia="仿宋" w:cs="仿宋"/>
                    <w:sz w:val="28"/>
                    <w:szCs w:val="28"/>
                    <w:lang w:eastAsia="zh-CN"/>
                  </w:rPr>
                  <w:fldChar w:fldCharType="separate"/>
                </w:r>
                <w:r>
                  <w:rPr>
                    <w:rFonts w:hint="eastAsia" w:ascii="仿宋" w:hAnsi="仿宋" w:eastAsia="仿宋" w:cs="仿宋"/>
                    <w:sz w:val="28"/>
                    <w:szCs w:val="28"/>
                    <w:lang w:eastAsia="zh-CN"/>
                  </w:rPr>
                  <w:t>1</w:t>
                </w:r>
                <w:r>
                  <w:rPr>
                    <w:rFonts w:hint="eastAsia" w:ascii="仿宋" w:hAnsi="仿宋" w:eastAsia="仿宋" w:cs="仿宋"/>
                    <w:sz w:val="28"/>
                    <w:szCs w:val="2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6B28940"/>
    <w:multiLevelType w:val="singleLevel"/>
    <w:tmpl w:val="B6B28940"/>
    <w:lvl w:ilvl="0" w:tentative="0">
      <w:start w:val="1"/>
      <w:numFmt w:val="decimal"/>
      <w:suff w:val="nothing"/>
      <w:lvlText w:val="（%1）"/>
      <w:lvlJc w:val="left"/>
      <w:pPr>
        <w:ind w:left="240"/>
      </w:pPr>
      <w:rPr>
        <w:rFonts w:cs="Times New Roman"/>
      </w:rPr>
    </w:lvl>
  </w:abstractNum>
  <w:abstractNum w:abstractNumId="1">
    <w:nsid w:val="BC3D7FB9"/>
    <w:multiLevelType w:val="singleLevel"/>
    <w:tmpl w:val="BC3D7FB9"/>
    <w:lvl w:ilvl="0" w:tentative="0">
      <w:start w:val="3"/>
      <w:numFmt w:val="chineseCounting"/>
      <w:suff w:val="nothing"/>
      <w:lvlText w:val="（%1）"/>
      <w:lvlJc w:val="left"/>
      <w:rPr>
        <w:rFonts w:hint="eastAsia" w:cs="Times New Roman"/>
      </w:rPr>
    </w:lvl>
  </w:abstractNum>
  <w:abstractNum w:abstractNumId="2">
    <w:nsid w:val="EC809FF2"/>
    <w:multiLevelType w:val="singleLevel"/>
    <w:tmpl w:val="EC809FF2"/>
    <w:lvl w:ilvl="0" w:tentative="0">
      <w:start w:val="3"/>
      <w:numFmt w:val="chineseCounting"/>
      <w:suff w:val="nothing"/>
      <w:lvlText w:val="%1、"/>
      <w:lvlJc w:val="left"/>
      <w:rPr>
        <w:rFonts w:hint="eastAsia" w:cs="Times New Roman"/>
      </w:rPr>
    </w:lvl>
  </w:abstractNum>
  <w:abstractNum w:abstractNumId="3">
    <w:nsid w:val="0A01A150"/>
    <w:multiLevelType w:val="singleLevel"/>
    <w:tmpl w:val="0A01A150"/>
    <w:lvl w:ilvl="0" w:tentative="0">
      <w:start w:val="2"/>
      <w:numFmt w:val="chineseCounting"/>
      <w:suff w:val="nothing"/>
      <w:lvlText w:val="（%1）"/>
      <w:lvlJc w:val="left"/>
      <w:pPr>
        <w:ind w:left="-160"/>
      </w:pPr>
      <w:rPr>
        <w:rFonts w:hint="eastAsia" w:cs="Times New Roman"/>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cwYmIwYzliOGM5YTZiNjJjNWVkY2FlMWQyYTJhYTUifQ=="/>
  </w:docVars>
  <w:rsids>
    <w:rsidRoot w:val="00172A27"/>
    <w:rsid w:val="0002500C"/>
    <w:rsid w:val="00077549"/>
    <w:rsid w:val="000A2C30"/>
    <w:rsid w:val="00172A27"/>
    <w:rsid w:val="00183036"/>
    <w:rsid w:val="001D1104"/>
    <w:rsid w:val="00304FDE"/>
    <w:rsid w:val="005115F4"/>
    <w:rsid w:val="0066151F"/>
    <w:rsid w:val="0067612E"/>
    <w:rsid w:val="006F46CD"/>
    <w:rsid w:val="00817C7C"/>
    <w:rsid w:val="00AD2566"/>
    <w:rsid w:val="00CE11C6"/>
    <w:rsid w:val="00D0176A"/>
    <w:rsid w:val="00E57791"/>
    <w:rsid w:val="00F13B71"/>
    <w:rsid w:val="00F1614E"/>
    <w:rsid w:val="00F86BD8"/>
    <w:rsid w:val="00FE2F05"/>
    <w:rsid w:val="015358A1"/>
    <w:rsid w:val="0169037A"/>
    <w:rsid w:val="019A37DB"/>
    <w:rsid w:val="01DF2BB7"/>
    <w:rsid w:val="01E34AA9"/>
    <w:rsid w:val="01ED29DF"/>
    <w:rsid w:val="0209026D"/>
    <w:rsid w:val="025830ED"/>
    <w:rsid w:val="02E940E4"/>
    <w:rsid w:val="03295794"/>
    <w:rsid w:val="03347010"/>
    <w:rsid w:val="037B747C"/>
    <w:rsid w:val="03AC5C73"/>
    <w:rsid w:val="03C51AA4"/>
    <w:rsid w:val="03F03CCE"/>
    <w:rsid w:val="042123E7"/>
    <w:rsid w:val="04671024"/>
    <w:rsid w:val="050C7A05"/>
    <w:rsid w:val="05A6512B"/>
    <w:rsid w:val="063A2179"/>
    <w:rsid w:val="06535650"/>
    <w:rsid w:val="06555A5A"/>
    <w:rsid w:val="071B31D8"/>
    <w:rsid w:val="0753082F"/>
    <w:rsid w:val="07600B39"/>
    <w:rsid w:val="07632917"/>
    <w:rsid w:val="07956EB7"/>
    <w:rsid w:val="08552743"/>
    <w:rsid w:val="0877497F"/>
    <w:rsid w:val="08AC10A9"/>
    <w:rsid w:val="08DA2EA3"/>
    <w:rsid w:val="092F4832"/>
    <w:rsid w:val="097F3883"/>
    <w:rsid w:val="09821A03"/>
    <w:rsid w:val="0A391333"/>
    <w:rsid w:val="0AA50E2F"/>
    <w:rsid w:val="0AA6727C"/>
    <w:rsid w:val="0AC05463"/>
    <w:rsid w:val="0AD97118"/>
    <w:rsid w:val="0AEE1997"/>
    <w:rsid w:val="0B0259FF"/>
    <w:rsid w:val="0B115838"/>
    <w:rsid w:val="0B420AEA"/>
    <w:rsid w:val="0BBF2E48"/>
    <w:rsid w:val="0BC70C0A"/>
    <w:rsid w:val="0BC817E1"/>
    <w:rsid w:val="0BCE6852"/>
    <w:rsid w:val="0BEA54A6"/>
    <w:rsid w:val="0C284A48"/>
    <w:rsid w:val="0C3D305A"/>
    <w:rsid w:val="0CB963C1"/>
    <w:rsid w:val="0D247F78"/>
    <w:rsid w:val="0D2E4E0F"/>
    <w:rsid w:val="0D3C0CD1"/>
    <w:rsid w:val="0DEB13DD"/>
    <w:rsid w:val="0E0C1122"/>
    <w:rsid w:val="0E797AC2"/>
    <w:rsid w:val="0E7B41E7"/>
    <w:rsid w:val="0EA83E98"/>
    <w:rsid w:val="0F081333"/>
    <w:rsid w:val="0F1008A4"/>
    <w:rsid w:val="0F1B056F"/>
    <w:rsid w:val="0F566B52"/>
    <w:rsid w:val="0FB12818"/>
    <w:rsid w:val="0FEC0C91"/>
    <w:rsid w:val="0FF5179F"/>
    <w:rsid w:val="10883F67"/>
    <w:rsid w:val="10946959"/>
    <w:rsid w:val="11471180"/>
    <w:rsid w:val="118A09AF"/>
    <w:rsid w:val="11B3097A"/>
    <w:rsid w:val="11C346FF"/>
    <w:rsid w:val="11F0044E"/>
    <w:rsid w:val="12082FE5"/>
    <w:rsid w:val="129E1223"/>
    <w:rsid w:val="12B7265B"/>
    <w:rsid w:val="12F8536A"/>
    <w:rsid w:val="135107D4"/>
    <w:rsid w:val="13C723C5"/>
    <w:rsid w:val="13E75309"/>
    <w:rsid w:val="1416199A"/>
    <w:rsid w:val="14A35726"/>
    <w:rsid w:val="151F6E6D"/>
    <w:rsid w:val="153935D8"/>
    <w:rsid w:val="154F1B9F"/>
    <w:rsid w:val="15B95A59"/>
    <w:rsid w:val="15C8778C"/>
    <w:rsid w:val="16150B7E"/>
    <w:rsid w:val="16264D1F"/>
    <w:rsid w:val="16365249"/>
    <w:rsid w:val="16BB0A11"/>
    <w:rsid w:val="171667D3"/>
    <w:rsid w:val="17424B58"/>
    <w:rsid w:val="17910A90"/>
    <w:rsid w:val="17E34984"/>
    <w:rsid w:val="181F4C6E"/>
    <w:rsid w:val="18410DA8"/>
    <w:rsid w:val="18680801"/>
    <w:rsid w:val="187C632C"/>
    <w:rsid w:val="18C97953"/>
    <w:rsid w:val="18D8782D"/>
    <w:rsid w:val="18EB2595"/>
    <w:rsid w:val="19055D69"/>
    <w:rsid w:val="19141913"/>
    <w:rsid w:val="191750EC"/>
    <w:rsid w:val="1960119B"/>
    <w:rsid w:val="19942E61"/>
    <w:rsid w:val="19B02787"/>
    <w:rsid w:val="1A2F0955"/>
    <w:rsid w:val="1A620741"/>
    <w:rsid w:val="1AE02592"/>
    <w:rsid w:val="1B0165C9"/>
    <w:rsid w:val="1B092C9F"/>
    <w:rsid w:val="1B177A36"/>
    <w:rsid w:val="1B332B6A"/>
    <w:rsid w:val="1B5A5061"/>
    <w:rsid w:val="1B8E63BA"/>
    <w:rsid w:val="1BC933DC"/>
    <w:rsid w:val="1C097D46"/>
    <w:rsid w:val="1C320E66"/>
    <w:rsid w:val="1C5A1287"/>
    <w:rsid w:val="1CB164B9"/>
    <w:rsid w:val="1D02380A"/>
    <w:rsid w:val="1E48774E"/>
    <w:rsid w:val="1E6B3FC4"/>
    <w:rsid w:val="1E7F557D"/>
    <w:rsid w:val="1EA123DE"/>
    <w:rsid w:val="1EA50D3B"/>
    <w:rsid w:val="1ED0381D"/>
    <w:rsid w:val="1EDE6EF7"/>
    <w:rsid w:val="1F4370CE"/>
    <w:rsid w:val="1F474DE3"/>
    <w:rsid w:val="1F59183B"/>
    <w:rsid w:val="1F72323A"/>
    <w:rsid w:val="1F9E1EE8"/>
    <w:rsid w:val="1FCD5494"/>
    <w:rsid w:val="200710B0"/>
    <w:rsid w:val="201947E5"/>
    <w:rsid w:val="20455988"/>
    <w:rsid w:val="20B42D9D"/>
    <w:rsid w:val="20E17D3D"/>
    <w:rsid w:val="213925E9"/>
    <w:rsid w:val="21482EC5"/>
    <w:rsid w:val="21621941"/>
    <w:rsid w:val="21732A0C"/>
    <w:rsid w:val="21B01310"/>
    <w:rsid w:val="221D3069"/>
    <w:rsid w:val="227F4EDE"/>
    <w:rsid w:val="22AC3736"/>
    <w:rsid w:val="231E0E86"/>
    <w:rsid w:val="23773224"/>
    <w:rsid w:val="237C370A"/>
    <w:rsid w:val="23B3277C"/>
    <w:rsid w:val="23B9674A"/>
    <w:rsid w:val="242B3817"/>
    <w:rsid w:val="246D21D5"/>
    <w:rsid w:val="24733F80"/>
    <w:rsid w:val="24BD2F2C"/>
    <w:rsid w:val="251C5F5A"/>
    <w:rsid w:val="25525D80"/>
    <w:rsid w:val="25993D1B"/>
    <w:rsid w:val="25994027"/>
    <w:rsid w:val="259B2951"/>
    <w:rsid w:val="25C13345"/>
    <w:rsid w:val="26193912"/>
    <w:rsid w:val="26977E3C"/>
    <w:rsid w:val="26A3260F"/>
    <w:rsid w:val="26B16FBE"/>
    <w:rsid w:val="26CA57C0"/>
    <w:rsid w:val="26E94B19"/>
    <w:rsid w:val="27192607"/>
    <w:rsid w:val="279F1274"/>
    <w:rsid w:val="28856A2D"/>
    <w:rsid w:val="2886733F"/>
    <w:rsid w:val="28B974D7"/>
    <w:rsid w:val="28CD2EC6"/>
    <w:rsid w:val="28CE1906"/>
    <w:rsid w:val="29995172"/>
    <w:rsid w:val="29AC1283"/>
    <w:rsid w:val="29D53111"/>
    <w:rsid w:val="2AA47CD5"/>
    <w:rsid w:val="2ADC1299"/>
    <w:rsid w:val="2AE757FB"/>
    <w:rsid w:val="2BD81239"/>
    <w:rsid w:val="2BE56461"/>
    <w:rsid w:val="2BE75DCA"/>
    <w:rsid w:val="2BF85692"/>
    <w:rsid w:val="2C0256C6"/>
    <w:rsid w:val="2C522B76"/>
    <w:rsid w:val="2CF3789E"/>
    <w:rsid w:val="2D0D3281"/>
    <w:rsid w:val="2D0D5C2B"/>
    <w:rsid w:val="2D9A478D"/>
    <w:rsid w:val="2DCD77AA"/>
    <w:rsid w:val="2E0B249C"/>
    <w:rsid w:val="2E193A2F"/>
    <w:rsid w:val="2E3738D4"/>
    <w:rsid w:val="2E803BB2"/>
    <w:rsid w:val="2EF23A77"/>
    <w:rsid w:val="2F560F80"/>
    <w:rsid w:val="2F98708D"/>
    <w:rsid w:val="301F5C98"/>
    <w:rsid w:val="30AF76EF"/>
    <w:rsid w:val="30DC78E7"/>
    <w:rsid w:val="31857392"/>
    <w:rsid w:val="31DB385B"/>
    <w:rsid w:val="31DD756F"/>
    <w:rsid w:val="32162B6A"/>
    <w:rsid w:val="322323CC"/>
    <w:rsid w:val="322466F2"/>
    <w:rsid w:val="322B447F"/>
    <w:rsid w:val="32A8762A"/>
    <w:rsid w:val="33011313"/>
    <w:rsid w:val="337E2856"/>
    <w:rsid w:val="33966C57"/>
    <w:rsid w:val="33A738B4"/>
    <w:rsid w:val="33D0750F"/>
    <w:rsid w:val="33EC2CEC"/>
    <w:rsid w:val="342F5C51"/>
    <w:rsid w:val="343F1D23"/>
    <w:rsid w:val="346F2A37"/>
    <w:rsid w:val="353360CA"/>
    <w:rsid w:val="35C423A1"/>
    <w:rsid w:val="35C94C0B"/>
    <w:rsid w:val="35FC1049"/>
    <w:rsid w:val="36130651"/>
    <w:rsid w:val="36256A03"/>
    <w:rsid w:val="36384582"/>
    <w:rsid w:val="366D5ED8"/>
    <w:rsid w:val="37463827"/>
    <w:rsid w:val="37624231"/>
    <w:rsid w:val="37B3535F"/>
    <w:rsid w:val="37DD7F65"/>
    <w:rsid w:val="37E345F1"/>
    <w:rsid w:val="37E52450"/>
    <w:rsid w:val="3810606A"/>
    <w:rsid w:val="385B7F48"/>
    <w:rsid w:val="394360F5"/>
    <w:rsid w:val="39591A61"/>
    <w:rsid w:val="39D36D72"/>
    <w:rsid w:val="39F23E7D"/>
    <w:rsid w:val="39F27F2D"/>
    <w:rsid w:val="3A296DB0"/>
    <w:rsid w:val="3A8C3EE7"/>
    <w:rsid w:val="3B20012B"/>
    <w:rsid w:val="3B230497"/>
    <w:rsid w:val="3B3B1B9E"/>
    <w:rsid w:val="3B3B3FFE"/>
    <w:rsid w:val="3BAB75F8"/>
    <w:rsid w:val="3C4D288E"/>
    <w:rsid w:val="3C5C1F79"/>
    <w:rsid w:val="3C9F3019"/>
    <w:rsid w:val="3CCF4230"/>
    <w:rsid w:val="3CD8486C"/>
    <w:rsid w:val="3D5247A3"/>
    <w:rsid w:val="3DC7716C"/>
    <w:rsid w:val="3E2D6F7B"/>
    <w:rsid w:val="3E8C59E9"/>
    <w:rsid w:val="3EA143D4"/>
    <w:rsid w:val="3EA47316"/>
    <w:rsid w:val="3EA97755"/>
    <w:rsid w:val="3EC96069"/>
    <w:rsid w:val="3F093323"/>
    <w:rsid w:val="3FAF3CF4"/>
    <w:rsid w:val="40302CD6"/>
    <w:rsid w:val="40453022"/>
    <w:rsid w:val="406D7247"/>
    <w:rsid w:val="415C72B5"/>
    <w:rsid w:val="41767C79"/>
    <w:rsid w:val="41772DBC"/>
    <w:rsid w:val="419817D0"/>
    <w:rsid w:val="41A526D8"/>
    <w:rsid w:val="41E9687E"/>
    <w:rsid w:val="41EB27B6"/>
    <w:rsid w:val="424E670D"/>
    <w:rsid w:val="42BD2DEB"/>
    <w:rsid w:val="431C5459"/>
    <w:rsid w:val="43FE04A3"/>
    <w:rsid w:val="44541F37"/>
    <w:rsid w:val="44AF2175"/>
    <w:rsid w:val="44FC03BC"/>
    <w:rsid w:val="45036889"/>
    <w:rsid w:val="45251B69"/>
    <w:rsid w:val="45332FC5"/>
    <w:rsid w:val="456152FB"/>
    <w:rsid w:val="464C4E80"/>
    <w:rsid w:val="466C4C60"/>
    <w:rsid w:val="467E4E58"/>
    <w:rsid w:val="46EF2A42"/>
    <w:rsid w:val="477A0D44"/>
    <w:rsid w:val="482439FF"/>
    <w:rsid w:val="484E10F7"/>
    <w:rsid w:val="485A4E13"/>
    <w:rsid w:val="48915554"/>
    <w:rsid w:val="490F3BE0"/>
    <w:rsid w:val="4928263A"/>
    <w:rsid w:val="49346E1F"/>
    <w:rsid w:val="494C5C3E"/>
    <w:rsid w:val="498507CF"/>
    <w:rsid w:val="49C71BF8"/>
    <w:rsid w:val="49DB1DA7"/>
    <w:rsid w:val="49EA7890"/>
    <w:rsid w:val="4A2E50B4"/>
    <w:rsid w:val="4A737AF5"/>
    <w:rsid w:val="4AFE0340"/>
    <w:rsid w:val="4B3F51E4"/>
    <w:rsid w:val="4B657062"/>
    <w:rsid w:val="4B850273"/>
    <w:rsid w:val="4BF07E55"/>
    <w:rsid w:val="4C026A6E"/>
    <w:rsid w:val="4C283ECA"/>
    <w:rsid w:val="4C6858B3"/>
    <w:rsid w:val="4CA115D6"/>
    <w:rsid w:val="4D2B0CA3"/>
    <w:rsid w:val="4D5D6FBD"/>
    <w:rsid w:val="4D6B28A0"/>
    <w:rsid w:val="4D9A1F51"/>
    <w:rsid w:val="4DD1134A"/>
    <w:rsid w:val="4DE84C9C"/>
    <w:rsid w:val="4DFE1F86"/>
    <w:rsid w:val="4E2504EC"/>
    <w:rsid w:val="4E840476"/>
    <w:rsid w:val="4F310148"/>
    <w:rsid w:val="4F3E246B"/>
    <w:rsid w:val="4F717496"/>
    <w:rsid w:val="4FC65972"/>
    <w:rsid w:val="502C52CD"/>
    <w:rsid w:val="50946C81"/>
    <w:rsid w:val="512131A2"/>
    <w:rsid w:val="51470A03"/>
    <w:rsid w:val="516A4FB3"/>
    <w:rsid w:val="51F65B1F"/>
    <w:rsid w:val="521A4417"/>
    <w:rsid w:val="52CC56D8"/>
    <w:rsid w:val="52EA27FA"/>
    <w:rsid w:val="52F263F9"/>
    <w:rsid w:val="5311421D"/>
    <w:rsid w:val="532E19FB"/>
    <w:rsid w:val="533327CB"/>
    <w:rsid w:val="534D15B8"/>
    <w:rsid w:val="537B4E7C"/>
    <w:rsid w:val="53952C3A"/>
    <w:rsid w:val="53BC61C6"/>
    <w:rsid w:val="53DD1C7A"/>
    <w:rsid w:val="54EB503E"/>
    <w:rsid w:val="553A06B6"/>
    <w:rsid w:val="55552624"/>
    <w:rsid w:val="556671D1"/>
    <w:rsid w:val="556F3516"/>
    <w:rsid w:val="55842728"/>
    <w:rsid w:val="55961F5D"/>
    <w:rsid w:val="55AE7511"/>
    <w:rsid w:val="55C92133"/>
    <w:rsid w:val="55EE6CB4"/>
    <w:rsid w:val="560E25FF"/>
    <w:rsid w:val="562E6199"/>
    <w:rsid w:val="56531DB7"/>
    <w:rsid w:val="56623216"/>
    <w:rsid w:val="57221542"/>
    <w:rsid w:val="572B2926"/>
    <w:rsid w:val="57654D9E"/>
    <w:rsid w:val="579A48FC"/>
    <w:rsid w:val="579A73D0"/>
    <w:rsid w:val="57DE5F38"/>
    <w:rsid w:val="582A051D"/>
    <w:rsid w:val="58365A33"/>
    <w:rsid w:val="58474568"/>
    <w:rsid w:val="58782A3A"/>
    <w:rsid w:val="58D041BE"/>
    <w:rsid w:val="58D7523F"/>
    <w:rsid w:val="59403102"/>
    <w:rsid w:val="5A2E77B0"/>
    <w:rsid w:val="5A680DB8"/>
    <w:rsid w:val="5A8F6603"/>
    <w:rsid w:val="5B3A2BD8"/>
    <w:rsid w:val="5BA5743E"/>
    <w:rsid w:val="5C144EDC"/>
    <w:rsid w:val="5C41710B"/>
    <w:rsid w:val="5CBB387E"/>
    <w:rsid w:val="5D3A312F"/>
    <w:rsid w:val="5D3A3A85"/>
    <w:rsid w:val="5D3C6860"/>
    <w:rsid w:val="5DFF123C"/>
    <w:rsid w:val="5EC657DB"/>
    <w:rsid w:val="5EC76337"/>
    <w:rsid w:val="5F6647E2"/>
    <w:rsid w:val="5FA95A4A"/>
    <w:rsid w:val="60406BEA"/>
    <w:rsid w:val="60CA4AE0"/>
    <w:rsid w:val="60CA538E"/>
    <w:rsid w:val="61156B4C"/>
    <w:rsid w:val="619E7E05"/>
    <w:rsid w:val="61B34AA8"/>
    <w:rsid w:val="62086EF2"/>
    <w:rsid w:val="62115B05"/>
    <w:rsid w:val="6264243B"/>
    <w:rsid w:val="628A1B4A"/>
    <w:rsid w:val="6290516E"/>
    <w:rsid w:val="62B820F9"/>
    <w:rsid w:val="631B3431"/>
    <w:rsid w:val="632E70DC"/>
    <w:rsid w:val="63BE25E3"/>
    <w:rsid w:val="640B356D"/>
    <w:rsid w:val="64164B49"/>
    <w:rsid w:val="646F76DC"/>
    <w:rsid w:val="6471725A"/>
    <w:rsid w:val="64A04B26"/>
    <w:rsid w:val="64E14BAA"/>
    <w:rsid w:val="655B2797"/>
    <w:rsid w:val="65715A32"/>
    <w:rsid w:val="65965E56"/>
    <w:rsid w:val="659F6980"/>
    <w:rsid w:val="65F4293E"/>
    <w:rsid w:val="663F4DEA"/>
    <w:rsid w:val="669C57AF"/>
    <w:rsid w:val="669D4B7B"/>
    <w:rsid w:val="66C72DC6"/>
    <w:rsid w:val="66C95950"/>
    <w:rsid w:val="66DE0E97"/>
    <w:rsid w:val="66F93DE9"/>
    <w:rsid w:val="674212D6"/>
    <w:rsid w:val="67456CD8"/>
    <w:rsid w:val="676D34EB"/>
    <w:rsid w:val="678B29FA"/>
    <w:rsid w:val="678D6A6D"/>
    <w:rsid w:val="67F475F0"/>
    <w:rsid w:val="680F0DB9"/>
    <w:rsid w:val="682C696E"/>
    <w:rsid w:val="683C4300"/>
    <w:rsid w:val="685E2B9F"/>
    <w:rsid w:val="69381D28"/>
    <w:rsid w:val="69404562"/>
    <w:rsid w:val="694A7017"/>
    <w:rsid w:val="6959071D"/>
    <w:rsid w:val="699B7E66"/>
    <w:rsid w:val="69E353EA"/>
    <w:rsid w:val="6A280AEF"/>
    <w:rsid w:val="6A5228EE"/>
    <w:rsid w:val="6A5D4D68"/>
    <w:rsid w:val="6B0E0D59"/>
    <w:rsid w:val="6B5C3B33"/>
    <w:rsid w:val="6BE5385D"/>
    <w:rsid w:val="6BF71691"/>
    <w:rsid w:val="6C0C625C"/>
    <w:rsid w:val="6C6B29CE"/>
    <w:rsid w:val="6C944F20"/>
    <w:rsid w:val="6CC658B0"/>
    <w:rsid w:val="6D273C74"/>
    <w:rsid w:val="6D9C4121"/>
    <w:rsid w:val="6DCA4784"/>
    <w:rsid w:val="6DCB1BF8"/>
    <w:rsid w:val="6DD71A20"/>
    <w:rsid w:val="6DFF6B64"/>
    <w:rsid w:val="6E536520"/>
    <w:rsid w:val="6E770F59"/>
    <w:rsid w:val="6F137CCD"/>
    <w:rsid w:val="6F2067D0"/>
    <w:rsid w:val="6F333079"/>
    <w:rsid w:val="6F5813C5"/>
    <w:rsid w:val="6F5D54F1"/>
    <w:rsid w:val="6F883E6F"/>
    <w:rsid w:val="6FBF1A0F"/>
    <w:rsid w:val="6FDE0859"/>
    <w:rsid w:val="70717DA5"/>
    <w:rsid w:val="70E6284C"/>
    <w:rsid w:val="71381C3F"/>
    <w:rsid w:val="71501558"/>
    <w:rsid w:val="71A75E98"/>
    <w:rsid w:val="72043BFE"/>
    <w:rsid w:val="721826BF"/>
    <w:rsid w:val="729B1B20"/>
    <w:rsid w:val="72CF38C3"/>
    <w:rsid w:val="73A500E4"/>
    <w:rsid w:val="73E41056"/>
    <w:rsid w:val="742F7DF6"/>
    <w:rsid w:val="74512ED0"/>
    <w:rsid w:val="74A27CCB"/>
    <w:rsid w:val="74F00DA8"/>
    <w:rsid w:val="7511010D"/>
    <w:rsid w:val="754F73CA"/>
    <w:rsid w:val="7569055C"/>
    <w:rsid w:val="75AB0E66"/>
    <w:rsid w:val="7617375C"/>
    <w:rsid w:val="76423651"/>
    <w:rsid w:val="765319EE"/>
    <w:rsid w:val="76587AD4"/>
    <w:rsid w:val="767D6E87"/>
    <w:rsid w:val="76CB2469"/>
    <w:rsid w:val="76E2611D"/>
    <w:rsid w:val="772B2E52"/>
    <w:rsid w:val="77D14F5D"/>
    <w:rsid w:val="77DB6EAD"/>
    <w:rsid w:val="7809294E"/>
    <w:rsid w:val="781311E0"/>
    <w:rsid w:val="7823277B"/>
    <w:rsid w:val="786A2290"/>
    <w:rsid w:val="789720A1"/>
    <w:rsid w:val="78DF4171"/>
    <w:rsid w:val="793F1A7F"/>
    <w:rsid w:val="796756EB"/>
    <w:rsid w:val="7A263AD8"/>
    <w:rsid w:val="7A3E4BD3"/>
    <w:rsid w:val="7A9B5F68"/>
    <w:rsid w:val="7B7E7CCE"/>
    <w:rsid w:val="7BA251B9"/>
    <w:rsid w:val="7BAC2077"/>
    <w:rsid w:val="7BC05A6B"/>
    <w:rsid w:val="7BF212CD"/>
    <w:rsid w:val="7C09730A"/>
    <w:rsid w:val="7C280D5C"/>
    <w:rsid w:val="7C2A2184"/>
    <w:rsid w:val="7C3677E7"/>
    <w:rsid w:val="7C4B10B5"/>
    <w:rsid w:val="7CD37616"/>
    <w:rsid w:val="7CDD0CEE"/>
    <w:rsid w:val="7D0D23CC"/>
    <w:rsid w:val="7D460C63"/>
    <w:rsid w:val="7D6804B0"/>
    <w:rsid w:val="7D741EC9"/>
    <w:rsid w:val="7DB912A3"/>
    <w:rsid w:val="7E3967A0"/>
    <w:rsid w:val="7E3D6351"/>
    <w:rsid w:val="7EA50D17"/>
    <w:rsid w:val="7EAD188A"/>
    <w:rsid w:val="7EFF6084"/>
    <w:rsid w:val="7F074E4B"/>
    <w:rsid w:val="7F1B6628"/>
    <w:rsid w:val="7F4F7C8B"/>
    <w:rsid w:val="7F6A4704"/>
    <w:rsid w:val="7F953772"/>
    <w:rsid w:val="7FAE56BF"/>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nhideWhenUsed="0"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6" w:lineRule="exact"/>
      <w:ind w:firstLine="200" w:firstLineChars="200"/>
      <w:jc w:val="both"/>
    </w:pPr>
    <w:rPr>
      <w:rFonts w:ascii="Times New Roman" w:hAnsi="Times New Roman" w:eastAsia="宋体" w:cs="Times New Roman"/>
      <w:kern w:val="2"/>
      <w:sz w:val="24"/>
      <w:szCs w:val="24"/>
      <w:lang w:val="en-US" w:eastAsia="zh-CN" w:bidi="ar-SA"/>
    </w:rPr>
  </w:style>
  <w:style w:type="character" w:default="1" w:styleId="8">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3"/>
    <w:basedOn w:val="1"/>
    <w:link w:val="9"/>
    <w:uiPriority w:val="99"/>
    <w:pPr>
      <w:spacing w:after="120" w:line="240" w:lineRule="auto"/>
      <w:ind w:firstLine="0" w:firstLineChars="0"/>
    </w:pPr>
    <w:rPr>
      <w:rFonts w:ascii="Calibri" w:hAnsi="Calibri"/>
      <w:sz w:val="16"/>
      <w:szCs w:val="16"/>
    </w:rPr>
  </w:style>
  <w:style w:type="paragraph" w:styleId="3">
    <w:name w:val="footer"/>
    <w:basedOn w:val="1"/>
    <w:semiHidden/>
    <w:unhideWhenUsed/>
    <w:uiPriority w:val="99"/>
    <w:pPr>
      <w:tabs>
        <w:tab w:val="center" w:pos="4153"/>
        <w:tab w:val="right" w:pos="8306"/>
      </w:tabs>
      <w:snapToGrid w:val="0"/>
      <w:jc w:val="left"/>
    </w:pPr>
    <w:rPr>
      <w:sz w:val="18"/>
    </w:rPr>
  </w:style>
  <w:style w:type="paragraph" w:styleId="4">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qFormat/>
    <w:uiPriority w:val="99"/>
    <w:pPr>
      <w:widowControl/>
      <w:spacing w:before="100" w:beforeAutospacing="1" w:after="100" w:afterAutospacing="1" w:line="240" w:lineRule="auto"/>
      <w:ind w:firstLine="0" w:firstLineChars="0"/>
      <w:jc w:val="left"/>
    </w:pPr>
    <w:rPr>
      <w:rFonts w:ascii="宋体" w:hAnsi="宋体" w:cs="宋体"/>
      <w:kern w:val="0"/>
    </w:rPr>
  </w:style>
  <w:style w:type="table" w:styleId="7">
    <w:name w:val="Table Grid"/>
    <w:basedOn w:val="6"/>
    <w:qFormat/>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Body Text 3 Char"/>
    <w:basedOn w:val="8"/>
    <w:link w:val="2"/>
    <w:semiHidden/>
    <w:qFormat/>
    <w:locked/>
    <w:uiPriority w:val="99"/>
    <w:rPr>
      <w:rFonts w:ascii="Calibri" w:hAnsi="Calibri" w:eastAsia="宋体" w:cs="Times New Roman"/>
      <w:kern w:val="2"/>
      <w:sz w:val="16"/>
      <w:szCs w:val="1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14</Pages>
  <Words>855</Words>
  <Characters>4877</Characters>
  <Lines>0</Lines>
  <Paragraphs>0</Paragraphs>
  <TotalTime>1</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2019-11-29T08:56:00Z</dcterms:created>
  <dc:creator>郭超(拟稿)</dc:creator>
  <cp:lastModifiedBy>Administrator</cp:lastModifiedBy>
  <cp:lastPrinted>2023-03-10T07:01:36Z</cp:lastPrinted>
  <dcterms:modified xsi:type="dcterms:W3CDTF">2023-03-10T07:01:40Z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D75B7780FF0F488DB6A6DDEFD8DF6AEF</vt:lpwstr>
  </property>
</Properties>
</file>